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2165A" w14:textId="77777777" w:rsidR="001B405D" w:rsidRPr="00C417B5" w:rsidRDefault="001B405D" w:rsidP="001B405D">
      <w:pPr>
        <w:rPr>
          <w:rFonts w:ascii="Tahoma" w:hAnsi="Tahoma" w:cs="Tahoma"/>
          <w:b/>
          <w:bCs/>
        </w:rPr>
      </w:pPr>
      <w:r>
        <w:rPr>
          <w:rFonts w:ascii="Tahoma" w:hAnsi="Tahoma" w:cs="Tahoma"/>
          <w:b/>
          <w:bCs/>
        </w:rPr>
        <w:t xml:space="preserve">Week 5:  Conducting </w:t>
      </w:r>
      <w:r w:rsidRPr="00C417B5">
        <w:rPr>
          <w:rFonts w:ascii="Tahoma" w:hAnsi="Tahoma" w:cs="Tahoma"/>
          <w:b/>
          <w:bCs/>
        </w:rPr>
        <w:t>Training</w:t>
      </w:r>
      <w:r>
        <w:rPr>
          <w:rFonts w:ascii="Tahoma" w:hAnsi="Tahoma" w:cs="Tahoma"/>
          <w:b/>
          <w:bCs/>
        </w:rPr>
        <w:t>: Teach less, Learn More.</w:t>
      </w:r>
    </w:p>
    <w:p w14:paraId="29402F39" w14:textId="77777777" w:rsidR="001B405D" w:rsidRDefault="001B405D" w:rsidP="001B405D">
      <w:pPr>
        <w:ind w:firstLine="720"/>
        <w:rPr>
          <w:rFonts w:ascii="Tahoma" w:hAnsi="Tahoma" w:cs="Tahoma"/>
          <w:sz w:val="21"/>
          <w:szCs w:val="21"/>
        </w:rPr>
      </w:pPr>
      <w:r>
        <w:rPr>
          <w:rFonts w:ascii="Tahoma" w:hAnsi="Tahoma" w:cs="Tahoma"/>
          <w:sz w:val="21"/>
          <w:szCs w:val="21"/>
        </w:rPr>
        <w:t xml:space="preserve">Your first reaction should be “but DHA is doing all the training”.  And you aren’t wrong.  You also aren’t right.  Read about any hospital system best practices for EMR adoption and one of the top sighted mistakes is “Do not rely on the vendor to do all of the training”.  Do not try to re-learn this lesson yourself.  Every hospital system is unique enough to require some ability to do additional training.  This is especially true in a system where you are going to turn over a quarter of your staff annually but are going to only have the additional DHA resources for the first 28 days after go-live.  You WILL be responsible for training.  New solutions.  Recurrent issues. Anything else that comes up. Overall, training and communication will be part of your normal battle rhythm. </w:t>
      </w:r>
    </w:p>
    <w:p w14:paraId="1E605DD9" w14:textId="77777777" w:rsidR="001B405D" w:rsidRDefault="001B405D" w:rsidP="001B405D">
      <w:pPr>
        <w:ind w:firstLine="720"/>
        <w:rPr>
          <w:rFonts w:ascii="Tahoma" w:hAnsi="Tahoma" w:cs="Tahoma"/>
          <w:sz w:val="21"/>
          <w:szCs w:val="21"/>
        </w:rPr>
      </w:pPr>
      <w:r>
        <w:rPr>
          <w:rFonts w:ascii="Tahoma" w:hAnsi="Tahoma" w:cs="Tahoma"/>
          <w:sz w:val="21"/>
          <w:szCs w:val="21"/>
        </w:rPr>
        <w:t>The good news is that there is robust information on how to best accomplish adult training.  On the other hand, we rarely follow any guidance to make training effective.  Although this is specifically about EMR training, the principles here are easily translated to any other avenue which you hope to have the trainees retain the information.</w:t>
      </w:r>
    </w:p>
    <w:p w14:paraId="71FD13E3" w14:textId="77777777" w:rsidR="001B405D" w:rsidRDefault="001B405D" w:rsidP="001B405D">
      <w:pPr>
        <w:rPr>
          <w:rFonts w:ascii="Tahoma" w:hAnsi="Tahoma" w:cs="Tahoma"/>
          <w:b/>
          <w:bCs/>
          <w:sz w:val="21"/>
          <w:szCs w:val="21"/>
        </w:rPr>
      </w:pPr>
      <w:r w:rsidRPr="00373883">
        <w:rPr>
          <w:rFonts w:ascii="Tahoma" w:hAnsi="Tahoma" w:cs="Tahoma"/>
          <w:b/>
          <w:bCs/>
          <w:sz w:val="21"/>
          <w:szCs w:val="21"/>
        </w:rPr>
        <w:t xml:space="preserve">Start with </w:t>
      </w:r>
      <w:r w:rsidRPr="00DE6D6F">
        <w:rPr>
          <w:rFonts w:ascii="Tahoma" w:hAnsi="Tahoma" w:cs="Tahoma"/>
          <w:b/>
          <w:bCs/>
          <w:sz w:val="21"/>
          <w:szCs w:val="21"/>
          <w:u w:val="single"/>
        </w:rPr>
        <w:t>WHY</w:t>
      </w:r>
      <w:r w:rsidRPr="00373883">
        <w:rPr>
          <w:rFonts w:ascii="Tahoma" w:hAnsi="Tahoma" w:cs="Tahoma"/>
          <w:b/>
          <w:bCs/>
          <w:sz w:val="21"/>
          <w:szCs w:val="21"/>
        </w:rPr>
        <w:t xml:space="preserve">.  </w:t>
      </w:r>
    </w:p>
    <w:p w14:paraId="14F0E54D" w14:textId="77777777" w:rsidR="001B405D" w:rsidRPr="00373883" w:rsidRDefault="001B405D" w:rsidP="001B405D">
      <w:pPr>
        <w:ind w:firstLine="720"/>
        <w:rPr>
          <w:rFonts w:ascii="Tahoma" w:hAnsi="Tahoma" w:cs="Tahoma"/>
          <w:sz w:val="21"/>
          <w:szCs w:val="21"/>
        </w:rPr>
      </w:pPr>
      <w:r>
        <w:rPr>
          <w:rFonts w:ascii="Tahoma" w:hAnsi="Tahoma" w:cs="Tahoma"/>
          <w:sz w:val="21"/>
          <w:szCs w:val="21"/>
        </w:rPr>
        <w:t xml:space="preserve">Most people naturally start the training process by figuring out WHAT they want to teach.  “What” focuses on teaching, not on learning.  People are more highly motivated to learn (and thereby increase retention) when they have a “why” they are learning.  As trainers we should first figure out THE PURPOSE of the training including the measurable outcomes we hope to accomplish.  The other part of why is to consider THE BENEFIT </w:t>
      </w:r>
      <w:r w:rsidRPr="00F90FA1">
        <w:rPr>
          <w:rFonts w:ascii="Tahoma" w:hAnsi="Tahoma" w:cs="Tahoma"/>
          <w:sz w:val="21"/>
          <w:szCs w:val="21"/>
        </w:rPr>
        <w:t>to the learners</w:t>
      </w:r>
      <w:r>
        <w:rPr>
          <w:rFonts w:ascii="Tahoma" w:hAnsi="Tahoma" w:cs="Tahoma"/>
          <w:sz w:val="21"/>
          <w:szCs w:val="21"/>
        </w:rPr>
        <w:t xml:space="preserve">.  Medical workers are notoriously sensitive to the impact that changes have to their patients, and as such all benefit should first consider the </w:t>
      </w:r>
      <w:r w:rsidRPr="00F90FA1">
        <w:rPr>
          <w:rFonts w:ascii="Tahoma" w:hAnsi="Tahoma" w:cs="Tahoma"/>
          <w:sz w:val="21"/>
          <w:szCs w:val="21"/>
          <w:u w:val="single"/>
        </w:rPr>
        <w:t xml:space="preserve">benefit to the patient, then benefit to the trainee themselves, and </w:t>
      </w:r>
      <w:r>
        <w:rPr>
          <w:rFonts w:ascii="Tahoma" w:hAnsi="Tahoma" w:cs="Tahoma"/>
          <w:sz w:val="21"/>
          <w:szCs w:val="21"/>
          <w:u w:val="single"/>
        </w:rPr>
        <w:t>only then consider benefit to</w:t>
      </w:r>
      <w:r w:rsidRPr="00F90FA1">
        <w:rPr>
          <w:rFonts w:ascii="Tahoma" w:hAnsi="Tahoma" w:cs="Tahoma"/>
          <w:sz w:val="21"/>
          <w:szCs w:val="21"/>
          <w:u w:val="single"/>
        </w:rPr>
        <w:t xml:space="preserve"> the organization</w:t>
      </w:r>
      <w:r>
        <w:rPr>
          <w:rFonts w:ascii="Tahoma" w:hAnsi="Tahoma" w:cs="Tahoma"/>
          <w:sz w:val="21"/>
          <w:szCs w:val="21"/>
        </w:rPr>
        <w:t xml:space="preserve">. Training should </w:t>
      </w:r>
      <w:r w:rsidRPr="00F90FA1">
        <w:rPr>
          <w:rFonts w:ascii="Tahoma" w:hAnsi="Tahoma" w:cs="Tahoma"/>
          <w:sz w:val="21"/>
          <w:szCs w:val="21"/>
          <w:u w:val="single"/>
        </w:rPr>
        <w:t>never focus on the benefit to the trainers</w:t>
      </w:r>
      <w:r>
        <w:rPr>
          <w:rFonts w:ascii="Tahoma" w:hAnsi="Tahoma" w:cs="Tahoma"/>
          <w:sz w:val="21"/>
          <w:szCs w:val="21"/>
        </w:rPr>
        <w:t xml:space="preserve">.  For instance, instead of including training to “pass a Joint Commission requirement” (an organizational benefit), determine WHY the Joint Commission has the requirement (usually a patient benefit) and teach to that. </w:t>
      </w:r>
    </w:p>
    <w:p w14:paraId="78997BEF" w14:textId="77777777" w:rsidR="001B405D" w:rsidRDefault="001B405D" w:rsidP="001B405D">
      <w:pPr>
        <w:rPr>
          <w:rFonts w:ascii="Tahoma" w:hAnsi="Tahoma" w:cs="Tahoma"/>
          <w:b/>
          <w:bCs/>
          <w:sz w:val="21"/>
          <w:szCs w:val="21"/>
        </w:rPr>
      </w:pPr>
      <w:r>
        <w:rPr>
          <w:rFonts w:ascii="Tahoma" w:hAnsi="Tahoma" w:cs="Tahoma"/>
          <w:b/>
          <w:bCs/>
          <w:sz w:val="21"/>
          <w:szCs w:val="21"/>
        </w:rPr>
        <w:t xml:space="preserve">Next figure out </w:t>
      </w:r>
      <w:r w:rsidRPr="00DE6D6F">
        <w:rPr>
          <w:rFonts w:ascii="Tahoma" w:hAnsi="Tahoma" w:cs="Tahoma"/>
          <w:b/>
          <w:bCs/>
          <w:sz w:val="21"/>
          <w:szCs w:val="21"/>
          <w:u w:val="single"/>
        </w:rPr>
        <w:t>WHO</w:t>
      </w:r>
      <w:r>
        <w:rPr>
          <w:rFonts w:ascii="Tahoma" w:hAnsi="Tahoma" w:cs="Tahoma"/>
          <w:b/>
          <w:bCs/>
          <w:sz w:val="21"/>
          <w:szCs w:val="21"/>
        </w:rPr>
        <w:t>.</w:t>
      </w:r>
    </w:p>
    <w:p w14:paraId="33346C2C" w14:textId="77777777" w:rsidR="001B405D" w:rsidRDefault="001B405D" w:rsidP="001B405D">
      <w:pPr>
        <w:ind w:firstLine="720"/>
        <w:rPr>
          <w:rFonts w:ascii="Tahoma" w:hAnsi="Tahoma" w:cs="Tahoma"/>
          <w:sz w:val="21"/>
          <w:szCs w:val="21"/>
          <w:u w:val="single"/>
        </w:rPr>
      </w:pPr>
      <w:r w:rsidRPr="00F5065D">
        <w:rPr>
          <w:rFonts w:ascii="Tahoma" w:hAnsi="Tahoma" w:cs="Tahoma"/>
          <w:sz w:val="21"/>
          <w:szCs w:val="21"/>
        </w:rPr>
        <w:t xml:space="preserve">Failing to consider WHO needs the training is the next most common mistake made in adult training.  </w:t>
      </w:r>
      <w:r>
        <w:rPr>
          <w:rFonts w:ascii="Tahoma" w:hAnsi="Tahoma" w:cs="Tahoma"/>
          <w:sz w:val="21"/>
          <w:szCs w:val="21"/>
        </w:rPr>
        <w:t xml:space="preserve">The most common response is “everyone”.  But if you are careful to delineate why you are training you will find that the stakeholders for the training should become clearer.  Often, we include people in training that are not stakeholders while simultaneously miss people because we simply failed to consider the true effects of the training. </w:t>
      </w:r>
      <w:r w:rsidRPr="00E42CDB">
        <w:rPr>
          <w:rFonts w:ascii="Tahoma" w:hAnsi="Tahoma" w:cs="Tahoma"/>
          <w:sz w:val="21"/>
          <w:szCs w:val="21"/>
          <w:u w:val="single"/>
        </w:rPr>
        <w:t xml:space="preserve">The training team should include a primary stakeholder in the planning of any training.  </w:t>
      </w:r>
    </w:p>
    <w:p w14:paraId="7D26A0A2" w14:textId="77777777" w:rsidR="001B405D" w:rsidRDefault="001B405D" w:rsidP="001B405D">
      <w:pPr>
        <w:rPr>
          <w:rFonts w:ascii="Tahoma" w:hAnsi="Tahoma" w:cs="Tahoma"/>
          <w:b/>
          <w:bCs/>
          <w:sz w:val="21"/>
          <w:szCs w:val="21"/>
        </w:rPr>
      </w:pPr>
      <w:r w:rsidRPr="009A08E9">
        <w:rPr>
          <w:rFonts w:ascii="Tahoma" w:hAnsi="Tahoma" w:cs="Tahoma"/>
          <w:b/>
          <w:bCs/>
          <w:sz w:val="21"/>
          <w:szCs w:val="21"/>
        </w:rPr>
        <w:t>Then figure out the chang</w:t>
      </w:r>
      <w:r>
        <w:rPr>
          <w:rFonts w:ascii="Tahoma" w:hAnsi="Tahoma" w:cs="Tahoma"/>
          <w:b/>
          <w:bCs/>
          <w:sz w:val="21"/>
          <w:szCs w:val="21"/>
        </w:rPr>
        <w:t xml:space="preserve">e. </w:t>
      </w:r>
    </w:p>
    <w:p w14:paraId="4DED6016" w14:textId="77777777" w:rsidR="001B405D" w:rsidRDefault="001B405D" w:rsidP="001B405D">
      <w:pPr>
        <w:ind w:firstLine="720"/>
        <w:rPr>
          <w:rFonts w:ascii="Tahoma" w:hAnsi="Tahoma" w:cs="Tahoma"/>
          <w:sz w:val="21"/>
          <w:szCs w:val="21"/>
        </w:rPr>
      </w:pPr>
      <w:r>
        <w:rPr>
          <w:rFonts w:ascii="Tahoma" w:hAnsi="Tahoma" w:cs="Tahoma"/>
          <w:sz w:val="21"/>
          <w:szCs w:val="21"/>
        </w:rPr>
        <w:t xml:space="preserve">The goal of all </w:t>
      </w:r>
      <w:r w:rsidRPr="002F159E">
        <w:rPr>
          <w:rFonts w:ascii="Tahoma" w:hAnsi="Tahoma" w:cs="Tahoma"/>
          <w:sz w:val="21"/>
          <w:szCs w:val="21"/>
        </w:rPr>
        <w:t xml:space="preserve">training </w:t>
      </w:r>
      <w:r>
        <w:rPr>
          <w:rFonts w:ascii="Tahoma" w:hAnsi="Tahoma" w:cs="Tahoma"/>
          <w:sz w:val="21"/>
          <w:szCs w:val="21"/>
        </w:rPr>
        <w:t xml:space="preserve">is a permanent change in behavior.  These changes broadly come in two categories.  First, you want someone to change what they are currently doing.  For this it is helpful to consider the current steps and processes and how the new behavior would change those processes (for the better of the trainee).  The other is if you are introducing a new process.  For these I would recommend starting with the ideal process for the stakeholder and determine how well the new behavior can meet that need.  Go-live falls into the second category, whereas much of the post-go-live training will fall into the first category.  </w:t>
      </w:r>
    </w:p>
    <w:p w14:paraId="268C01F0" w14:textId="77777777" w:rsidR="001B405D" w:rsidRDefault="001B405D" w:rsidP="001B405D">
      <w:pPr>
        <w:rPr>
          <w:rFonts w:ascii="Tahoma" w:hAnsi="Tahoma" w:cs="Tahoma"/>
          <w:b/>
          <w:bCs/>
          <w:sz w:val="21"/>
          <w:szCs w:val="21"/>
        </w:rPr>
      </w:pPr>
      <w:r w:rsidRPr="001D5997">
        <w:rPr>
          <w:rFonts w:ascii="Tahoma" w:hAnsi="Tahoma" w:cs="Tahoma"/>
          <w:b/>
          <w:bCs/>
          <w:sz w:val="21"/>
          <w:szCs w:val="21"/>
        </w:rPr>
        <w:t xml:space="preserve">Finally, </w:t>
      </w:r>
      <w:r w:rsidRPr="00896722">
        <w:rPr>
          <w:rFonts w:ascii="Tahoma" w:hAnsi="Tahoma" w:cs="Tahoma"/>
          <w:b/>
          <w:bCs/>
          <w:sz w:val="21"/>
          <w:szCs w:val="21"/>
          <w:u w:val="single"/>
        </w:rPr>
        <w:t>WHAT</w:t>
      </w:r>
      <w:r w:rsidRPr="001D5997">
        <w:rPr>
          <w:rFonts w:ascii="Tahoma" w:hAnsi="Tahoma" w:cs="Tahoma"/>
          <w:b/>
          <w:bCs/>
          <w:sz w:val="21"/>
          <w:szCs w:val="21"/>
        </w:rPr>
        <w:t xml:space="preserve"> to train!</w:t>
      </w:r>
    </w:p>
    <w:p w14:paraId="643314C6" w14:textId="77777777" w:rsidR="001B405D" w:rsidRDefault="001B405D" w:rsidP="001B405D">
      <w:pPr>
        <w:ind w:firstLine="720"/>
        <w:rPr>
          <w:rFonts w:ascii="Tahoma" w:hAnsi="Tahoma" w:cs="Tahoma"/>
          <w:sz w:val="21"/>
          <w:szCs w:val="21"/>
        </w:rPr>
      </w:pPr>
      <w:r>
        <w:rPr>
          <w:rFonts w:ascii="Tahoma" w:hAnsi="Tahoma" w:cs="Tahoma"/>
          <w:sz w:val="21"/>
          <w:szCs w:val="21"/>
        </w:rPr>
        <w:lastRenderedPageBreak/>
        <w:t xml:space="preserve">After determining the behavioral changes that are necessary, you can finally get to “What” you want to train.  Only these changes need to be changed, not the entire process.  It may be necessary to do some pre-training testing to help determine what those steps are. The </w:t>
      </w:r>
      <w:r w:rsidRPr="00664CBE">
        <w:rPr>
          <w:rFonts w:ascii="Tahoma" w:hAnsi="Tahoma" w:cs="Tahoma"/>
          <w:sz w:val="21"/>
          <w:szCs w:val="21"/>
          <w:u w:val="single"/>
        </w:rPr>
        <w:t>number one sighted reason for failed training is overloading trainees with irrelevant</w:t>
      </w:r>
      <w:r>
        <w:rPr>
          <w:rFonts w:ascii="Tahoma" w:hAnsi="Tahoma" w:cs="Tahoma"/>
          <w:sz w:val="21"/>
          <w:szCs w:val="21"/>
          <w:u w:val="single"/>
        </w:rPr>
        <w:t xml:space="preserve"> (to them)</w:t>
      </w:r>
      <w:r w:rsidRPr="00664CBE">
        <w:rPr>
          <w:rFonts w:ascii="Tahoma" w:hAnsi="Tahoma" w:cs="Tahoma"/>
          <w:sz w:val="21"/>
          <w:szCs w:val="21"/>
          <w:u w:val="single"/>
        </w:rPr>
        <w:t xml:space="preserve"> information</w:t>
      </w:r>
      <w:r>
        <w:rPr>
          <w:rFonts w:ascii="Tahoma" w:hAnsi="Tahoma" w:cs="Tahoma"/>
          <w:sz w:val="21"/>
          <w:szCs w:val="21"/>
        </w:rPr>
        <w:t xml:space="preserve">.  In addition to considering what needs to be trained, you also need to be sensitive to what CAN be trained.  The </w:t>
      </w:r>
      <w:r w:rsidRPr="005354D4">
        <w:rPr>
          <w:rFonts w:ascii="Tahoma" w:hAnsi="Tahoma" w:cs="Tahoma"/>
          <w:sz w:val="21"/>
          <w:szCs w:val="21"/>
          <w:u w:val="single"/>
        </w:rPr>
        <w:t>cognitive load of the behavioral change</w:t>
      </w:r>
      <w:r>
        <w:rPr>
          <w:rFonts w:ascii="Tahoma" w:hAnsi="Tahoma" w:cs="Tahoma"/>
          <w:sz w:val="21"/>
          <w:szCs w:val="21"/>
        </w:rPr>
        <w:t xml:space="preserve"> should be considered during this step to ensure that trainees will be capable of retaining the required change or what steps will be needed to make the training stick. </w:t>
      </w:r>
    </w:p>
    <w:p w14:paraId="16B0DFCD" w14:textId="77777777" w:rsidR="001B405D" w:rsidRPr="00D46813" w:rsidRDefault="001B405D" w:rsidP="001B405D">
      <w:pPr>
        <w:rPr>
          <w:rFonts w:ascii="Tahoma" w:hAnsi="Tahoma" w:cs="Tahoma"/>
          <w:b/>
          <w:bCs/>
          <w:sz w:val="21"/>
          <w:szCs w:val="21"/>
        </w:rPr>
      </w:pPr>
      <w:r w:rsidRPr="00D46813">
        <w:rPr>
          <w:rFonts w:ascii="Tahoma" w:hAnsi="Tahoma" w:cs="Tahoma"/>
          <w:b/>
          <w:bCs/>
          <w:sz w:val="21"/>
          <w:szCs w:val="21"/>
          <w:u w:val="single"/>
        </w:rPr>
        <w:t>HOW</w:t>
      </w:r>
      <w:r w:rsidRPr="00D46813">
        <w:rPr>
          <w:rFonts w:ascii="Tahoma" w:hAnsi="Tahoma" w:cs="Tahoma"/>
          <w:b/>
          <w:bCs/>
          <w:sz w:val="21"/>
          <w:szCs w:val="21"/>
        </w:rPr>
        <w:t xml:space="preserve"> to </w:t>
      </w:r>
      <w:r>
        <w:rPr>
          <w:rFonts w:ascii="Tahoma" w:hAnsi="Tahoma" w:cs="Tahoma"/>
          <w:b/>
          <w:bCs/>
          <w:sz w:val="21"/>
          <w:szCs w:val="21"/>
        </w:rPr>
        <w:t>t</w:t>
      </w:r>
      <w:r w:rsidRPr="00D46813">
        <w:rPr>
          <w:rFonts w:ascii="Tahoma" w:hAnsi="Tahoma" w:cs="Tahoma"/>
          <w:b/>
          <w:bCs/>
          <w:sz w:val="21"/>
          <w:szCs w:val="21"/>
        </w:rPr>
        <w:t>rain</w:t>
      </w:r>
      <w:r>
        <w:rPr>
          <w:rFonts w:ascii="Tahoma" w:hAnsi="Tahoma" w:cs="Tahoma"/>
          <w:b/>
          <w:bCs/>
          <w:sz w:val="21"/>
          <w:szCs w:val="21"/>
        </w:rPr>
        <w:t xml:space="preserve"> (your dragon, or </w:t>
      </w:r>
      <w:proofErr w:type="spellStart"/>
      <w:r>
        <w:rPr>
          <w:rFonts w:ascii="Tahoma" w:hAnsi="Tahoma" w:cs="Tahoma"/>
          <w:b/>
          <w:bCs/>
          <w:sz w:val="21"/>
          <w:szCs w:val="21"/>
        </w:rPr>
        <w:t>Asutype</w:t>
      </w:r>
      <w:proofErr w:type="spellEnd"/>
      <w:r>
        <w:rPr>
          <w:rFonts w:ascii="Tahoma" w:hAnsi="Tahoma" w:cs="Tahoma"/>
          <w:b/>
          <w:bCs/>
          <w:sz w:val="21"/>
          <w:szCs w:val="21"/>
        </w:rPr>
        <w:t>, or GENESIS)</w:t>
      </w:r>
      <w:r w:rsidRPr="00D46813">
        <w:rPr>
          <w:rFonts w:ascii="Tahoma" w:hAnsi="Tahoma" w:cs="Tahoma"/>
          <w:b/>
          <w:bCs/>
          <w:sz w:val="21"/>
          <w:szCs w:val="21"/>
        </w:rPr>
        <w:t>.</w:t>
      </w:r>
    </w:p>
    <w:p w14:paraId="1A867638" w14:textId="77777777" w:rsidR="001B405D" w:rsidRDefault="001B405D" w:rsidP="001B405D">
      <w:pPr>
        <w:ind w:firstLine="720"/>
        <w:rPr>
          <w:rFonts w:ascii="Tahoma" w:hAnsi="Tahoma" w:cs="Tahoma"/>
          <w:sz w:val="21"/>
          <w:szCs w:val="21"/>
        </w:rPr>
      </w:pPr>
      <w:r w:rsidRPr="001870CA">
        <w:rPr>
          <w:rFonts w:ascii="Tahoma" w:hAnsi="Tahoma" w:cs="Tahoma"/>
          <w:sz w:val="21"/>
          <w:szCs w:val="21"/>
        </w:rPr>
        <w:t xml:space="preserve">The last step is to consider the ideal modality for doing the training.  </w:t>
      </w:r>
      <w:r w:rsidRPr="00664CBE">
        <w:rPr>
          <w:rFonts w:ascii="Tahoma" w:hAnsi="Tahoma" w:cs="Tahoma"/>
          <w:sz w:val="21"/>
          <w:szCs w:val="21"/>
          <w:u w:val="single"/>
        </w:rPr>
        <w:t>Active learning</w:t>
      </w:r>
      <w:r>
        <w:rPr>
          <w:rFonts w:ascii="Tahoma" w:hAnsi="Tahoma" w:cs="Tahoma"/>
          <w:sz w:val="21"/>
          <w:szCs w:val="21"/>
        </w:rPr>
        <w:t xml:space="preserve"> (where trainees are DOING things) has been shown to improve compliance, buy-in, and retention over the traditional passive death-by-</w:t>
      </w:r>
      <w:proofErr w:type="spellStart"/>
      <w:r>
        <w:rPr>
          <w:rFonts w:ascii="Tahoma" w:hAnsi="Tahoma" w:cs="Tahoma"/>
          <w:sz w:val="21"/>
          <w:szCs w:val="21"/>
        </w:rPr>
        <w:t>powerpoint</w:t>
      </w:r>
      <w:proofErr w:type="spellEnd"/>
      <w:r>
        <w:rPr>
          <w:rFonts w:ascii="Tahoma" w:hAnsi="Tahoma" w:cs="Tahoma"/>
          <w:sz w:val="21"/>
          <w:szCs w:val="21"/>
        </w:rPr>
        <w:t xml:space="preserve"> “training”. Passive learning over 18-20 minutes has diminishing returns and periodic breaks or changes in style or content may improve retention if you anticipate longer training sessions.  Repetition is also more effective, so providing a modality that produces multiple exposures to the behavioral change are more likely to be successful. Also consider how much time is needed and the resources required to effectively train any topic. </w:t>
      </w:r>
    </w:p>
    <w:p w14:paraId="33720568" w14:textId="77777777" w:rsidR="001B405D" w:rsidRDefault="001B405D" w:rsidP="001B405D">
      <w:pPr>
        <w:rPr>
          <w:rFonts w:ascii="Tahoma" w:hAnsi="Tahoma" w:cs="Tahoma"/>
          <w:sz w:val="21"/>
          <w:szCs w:val="21"/>
        </w:rPr>
      </w:pPr>
      <w:r w:rsidRPr="006A4EB9">
        <w:rPr>
          <w:rFonts w:ascii="Tahoma" w:hAnsi="Tahoma" w:cs="Tahoma"/>
          <w:b/>
          <w:bCs/>
          <w:sz w:val="21"/>
          <w:szCs w:val="21"/>
        </w:rPr>
        <w:t>Final Thoughts.</w:t>
      </w:r>
      <w:r>
        <w:rPr>
          <w:rFonts w:ascii="Tahoma" w:hAnsi="Tahoma" w:cs="Tahoma"/>
          <w:b/>
          <w:bCs/>
          <w:sz w:val="21"/>
          <w:szCs w:val="21"/>
        </w:rPr>
        <w:t xml:space="preserve">  </w:t>
      </w:r>
      <w:r>
        <w:rPr>
          <w:rFonts w:ascii="Tahoma" w:hAnsi="Tahoma" w:cs="Tahoma"/>
          <w:sz w:val="21"/>
          <w:szCs w:val="21"/>
        </w:rPr>
        <w:t xml:space="preserve">My experience as an </w:t>
      </w:r>
      <w:proofErr w:type="spellStart"/>
      <w:r>
        <w:rPr>
          <w:rFonts w:ascii="Tahoma" w:hAnsi="Tahoma" w:cs="Tahoma"/>
          <w:sz w:val="21"/>
          <w:szCs w:val="21"/>
        </w:rPr>
        <w:t>SGH</w:t>
      </w:r>
      <w:proofErr w:type="spellEnd"/>
      <w:r>
        <w:rPr>
          <w:rFonts w:ascii="Tahoma" w:hAnsi="Tahoma" w:cs="Tahoma"/>
          <w:sz w:val="21"/>
          <w:szCs w:val="21"/>
        </w:rPr>
        <w:t xml:space="preserve"> mirrors that as a </w:t>
      </w:r>
      <w:proofErr w:type="spellStart"/>
      <w:r>
        <w:rPr>
          <w:rFonts w:ascii="Tahoma" w:hAnsi="Tahoma" w:cs="Tahoma"/>
          <w:sz w:val="21"/>
          <w:szCs w:val="21"/>
        </w:rPr>
        <w:t>CMIO</w:t>
      </w:r>
      <w:proofErr w:type="spellEnd"/>
      <w:r>
        <w:rPr>
          <w:rFonts w:ascii="Tahoma" w:hAnsi="Tahoma" w:cs="Tahoma"/>
          <w:sz w:val="21"/>
          <w:szCs w:val="21"/>
        </w:rPr>
        <w:t xml:space="preserve"> – everyone wants to provide “training”, but very few understand what is truly required to provide an effective training opportunity.  Most requests for “training” are born out of fulfilling a requirement or are self-serving.  Neither of these are likely to produce the desired behavioral outcome change.  With that concept in mind I set out to help guide myself in how I produce my training and the requirements that I believe are necessary to perform effective training. The result is the attached “Worksheet for EMR training request”.  This may be more robust than often necessary, but it does hit the highlights and can be easily adjusted.  Also, with a couple of word changes I would have used this same concept to improve my </w:t>
      </w:r>
      <w:proofErr w:type="spellStart"/>
      <w:r>
        <w:rPr>
          <w:rFonts w:ascii="Tahoma" w:hAnsi="Tahoma" w:cs="Tahoma"/>
          <w:sz w:val="21"/>
          <w:szCs w:val="21"/>
        </w:rPr>
        <w:t>Prostaff</w:t>
      </w:r>
      <w:proofErr w:type="spellEnd"/>
      <w:r>
        <w:rPr>
          <w:rFonts w:ascii="Tahoma" w:hAnsi="Tahoma" w:cs="Tahoma"/>
          <w:sz w:val="21"/>
          <w:szCs w:val="21"/>
        </w:rPr>
        <w:t xml:space="preserve"> content.  </w:t>
      </w:r>
    </w:p>
    <w:p w14:paraId="38463010" w14:textId="77777777" w:rsidR="001B405D" w:rsidRDefault="001B405D" w:rsidP="001B405D">
      <w:pPr>
        <w:ind w:firstLine="720"/>
        <w:rPr>
          <w:rFonts w:ascii="Tahoma" w:hAnsi="Tahoma" w:cs="Tahoma"/>
          <w:sz w:val="21"/>
          <w:szCs w:val="21"/>
        </w:rPr>
      </w:pPr>
      <w:r>
        <w:rPr>
          <w:rFonts w:ascii="Tahoma" w:hAnsi="Tahoma" w:cs="Tahoma"/>
          <w:sz w:val="21"/>
          <w:szCs w:val="21"/>
        </w:rPr>
        <w:t>I also know that there are probably some true experts on adult learning theories out there.  What are your tips and tricks?  Anything I missed?  Where did I miss the mark?</w:t>
      </w:r>
    </w:p>
    <w:p w14:paraId="77AEA203" w14:textId="77777777" w:rsidR="001B405D" w:rsidRDefault="001B405D" w:rsidP="001B405D">
      <w:pPr>
        <w:rPr>
          <w:rFonts w:ascii="Tahoma" w:hAnsi="Tahoma" w:cs="Tahoma"/>
          <w:sz w:val="21"/>
          <w:szCs w:val="21"/>
        </w:rPr>
      </w:pPr>
      <w:r w:rsidRPr="000A71D9">
        <w:rPr>
          <w:rFonts w:ascii="Tahoma" w:hAnsi="Tahoma" w:cs="Tahoma"/>
          <w:b/>
          <w:bCs/>
          <w:sz w:val="21"/>
          <w:szCs w:val="21"/>
        </w:rPr>
        <w:t xml:space="preserve">BONUS: </w:t>
      </w:r>
      <w:r w:rsidRPr="00A14EA9">
        <w:rPr>
          <w:rFonts w:ascii="Tahoma" w:hAnsi="Tahoma" w:cs="Tahoma"/>
          <w:sz w:val="21"/>
          <w:szCs w:val="21"/>
        </w:rPr>
        <w:t xml:space="preserve">The </w:t>
      </w:r>
      <w:proofErr w:type="spellStart"/>
      <w:r w:rsidRPr="00A14EA9">
        <w:rPr>
          <w:rFonts w:ascii="Tahoma" w:hAnsi="Tahoma" w:cs="Tahoma"/>
          <w:sz w:val="21"/>
          <w:szCs w:val="21"/>
        </w:rPr>
        <w:t>CMIO</w:t>
      </w:r>
      <w:proofErr w:type="spellEnd"/>
      <w:r w:rsidRPr="00A14EA9">
        <w:rPr>
          <w:rFonts w:ascii="Tahoma" w:hAnsi="Tahoma" w:cs="Tahoma"/>
          <w:sz w:val="21"/>
          <w:szCs w:val="21"/>
        </w:rPr>
        <w:t xml:space="preserve"> at Beale AFB</w:t>
      </w:r>
      <w:r>
        <w:rPr>
          <w:rFonts w:ascii="Tahoma" w:hAnsi="Tahoma" w:cs="Tahoma"/>
          <w:sz w:val="21"/>
          <w:szCs w:val="21"/>
        </w:rPr>
        <w:t>, Capt. Faraz Ghoddusi,</w:t>
      </w:r>
      <w:r>
        <w:rPr>
          <w:rFonts w:ascii="Tahoma" w:hAnsi="Tahoma" w:cs="Tahoma"/>
          <w:b/>
          <w:bCs/>
          <w:sz w:val="21"/>
          <w:szCs w:val="21"/>
        </w:rPr>
        <w:t xml:space="preserve"> </w:t>
      </w:r>
      <w:r w:rsidRPr="00A14EA9">
        <w:rPr>
          <w:rFonts w:ascii="Tahoma" w:hAnsi="Tahoma" w:cs="Tahoma"/>
          <w:sz w:val="21"/>
          <w:szCs w:val="21"/>
        </w:rPr>
        <w:t xml:space="preserve">sent me their </w:t>
      </w:r>
      <w:proofErr w:type="spellStart"/>
      <w:r w:rsidRPr="00A14EA9">
        <w:rPr>
          <w:rFonts w:ascii="Tahoma" w:hAnsi="Tahoma" w:cs="Tahoma"/>
          <w:sz w:val="21"/>
          <w:szCs w:val="21"/>
        </w:rPr>
        <w:t>ISC</w:t>
      </w:r>
      <w:proofErr w:type="spellEnd"/>
      <w:r w:rsidRPr="00A14EA9">
        <w:rPr>
          <w:rFonts w:ascii="Tahoma" w:hAnsi="Tahoma" w:cs="Tahoma"/>
          <w:sz w:val="21"/>
          <w:szCs w:val="21"/>
        </w:rPr>
        <w:t xml:space="preserve"> Charter.</w:t>
      </w:r>
      <w:r>
        <w:rPr>
          <w:rFonts w:ascii="Tahoma" w:hAnsi="Tahoma" w:cs="Tahoma"/>
          <w:b/>
          <w:bCs/>
          <w:sz w:val="21"/>
          <w:szCs w:val="21"/>
        </w:rPr>
        <w:t xml:space="preserve">  </w:t>
      </w:r>
      <w:r w:rsidRPr="004A3EBA">
        <w:rPr>
          <w:rFonts w:ascii="Tahoma" w:hAnsi="Tahoma" w:cs="Tahoma"/>
          <w:sz w:val="21"/>
          <w:szCs w:val="21"/>
        </w:rPr>
        <w:t xml:space="preserve">Instead of separate charters, they were able to incorporate into a single document with addendums to manage the changes.  I love this and would recommend you see if it may work for your site as well.   </w:t>
      </w:r>
    </w:p>
    <w:p w14:paraId="018A42E2" w14:textId="77777777" w:rsidR="001B405D" w:rsidRDefault="001B405D" w:rsidP="001B405D">
      <w:pPr>
        <w:rPr>
          <w:rFonts w:ascii="Tahoma" w:hAnsi="Tahoma" w:cs="Tahoma"/>
          <w:b/>
          <w:bCs/>
          <w:sz w:val="21"/>
          <w:szCs w:val="21"/>
        </w:rPr>
      </w:pPr>
      <w:r w:rsidRPr="00A63B7F">
        <w:rPr>
          <w:rFonts w:ascii="Tahoma" w:hAnsi="Tahoma" w:cs="Tahoma"/>
          <w:b/>
          <w:bCs/>
          <w:sz w:val="21"/>
          <w:szCs w:val="21"/>
        </w:rPr>
        <w:t>Next Week:  The Remedy is the experience</w:t>
      </w:r>
      <w:r>
        <w:rPr>
          <w:rFonts w:ascii="Tahoma" w:hAnsi="Tahoma" w:cs="Tahoma"/>
          <w:b/>
          <w:bCs/>
          <w:sz w:val="21"/>
          <w:szCs w:val="21"/>
        </w:rPr>
        <w:t>: e</w:t>
      </w:r>
      <w:r w:rsidRPr="00A63B7F">
        <w:rPr>
          <w:rFonts w:ascii="Tahoma" w:hAnsi="Tahoma" w:cs="Tahoma"/>
          <w:b/>
          <w:bCs/>
          <w:sz w:val="21"/>
          <w:szCs w:val="21"/>
        </w:rPr>
        <w:t>ffectively asking for change.</w:t>
      </w:r>
    </w:p>
    <w:p w14:paraId="303479E5" w14:textId="77777777" w:rsidR="001B405D" w:rsidRPr="00293475" w:rsidRDefault="001B405D" w:rsidP="001B405D">
      <w:pPr>
        <w:rPr>
          <w:rFonts w:ascii="Tahoma" w:hAnsi="Tahoma" w:cs="Tahoma"/>
          <w:sz w:val="21"/>
          <w:szCs w:val="21"/>
        </w:rPr>
      </w:pPr>
      <w:r w:rsidRPr="00293475">
        <w:rPr>
          <w:rFonts w:ascii="Tahoma" w:hAnsi="Tahoma" w:cs="Tahoma"/>
          <w:b/>
          <w:bCs/>
          <w:sz w:val="21"/>
          <w:szCs w:val="21"/>
        </w:rPr>
        <w:t xml:space="preserve">GENESIS 101: </w:t>
      </w:r>
      <w:r w:rsidRPr="00293475">
        <w:rPr>
          <w:rFonts w:ascii="Tahoma" w:hAnsi="Tahoma" w:cs="Tahoma"/>
          <w:sz w:val="21"/>
          <w:szCs w:val="21"/>
        </w:rPr>
        <w:t xml:space="preserve">Baseline privileges and preferences are defined by your “ROLE” in </w:t>
      </w:r>
      <w:proofErr w:type="spellStart"/>
      <w:r w:rsidRPr="00293475">
        <w:rPr>
          <w:rFonts w:ascii="Tahoma" w:hAnsi="Tahoma" w:cs="Tahoma"/>
          <w:sz w:val="21"/>
          <w:szCs w:val="21"/>
        </w:rPr>
        <w:t>MHS</w:t>
      </w:r>
      <w:proofErr w:type="spellEnd"/>
      <w:r w:rsidRPr="00293475">
        <w:rPr>
          <w:rFonts w:ascii="Tahoma" w:hAnsi="Tahoma" w:cs="Tahoma"/>
          <w:sz w:val="21"/>
          <w:szCs w:val="21"/>
        </w:rPr>
        <w:t xml:space="preserve"> GENESIS. Roles are defined and managed by </w:t>
      </w:r>
      <w:proofErr w:type="spellStart"/>
      <w:r w:rsidRPr="00293475">
        <w:rPr>
          <w:rFonts w:ascii="Tahoma" w:hAnsi="Tahoma" w:cs="Tahoma"/>
          <w:sz w:val="21"/>
          <w:szCs w:val="21"/>
        </w:rPr>
        <w:t>DHAHI</w:t>
      </w:r>
      <w:proofErr w:type="spellEnd"/>
      <w:r w:rsidRPr="00293475">
        <w:rPr>
          <w:rFonts w:ascii="Tahoma" w:hAnsi="Tahoma" w:cs="Tahoma"/>
          <w:sz w:val="21"/>
          <w:szCs w:val="21"/>
        </w:rPr>
        <w:t xml:space="preserve"> and dictate what tools you need to access and how you can interact with them.  For instance, a physician role will allow you to order medication, while the radiology technician role would not.   </w:t>
      </w:r>
    </w:p>
    <w:p w14:paraId="38C68B94" w14:textId="77777777" w:rsidR="005D68AC" w:rsidRDefault="005D68AC">
      <w:bookmarkStart w:id="0" w:name="_GoBack"/>
      <w:bookmarkEnd w:id="0"/>
    </w:p>
    <w:sectPr w:rsidR="005D6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MjE1tzQwNDcDkko6SsGpxcWZ+XkgBYa1ACxwo3osAAAA"/>
  </w:docVars>
  <w:rsids>
    <w:rsidRoot w:val="001B405D"/>
    <w:rsid w:val="001B405D"/>
    <w:rsid w:val="0053427F"/>
    <w:rsid w:val="005D68AC"/>
    <w:rsid w:val="0082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5999"/>
  <w15:chartTrackingRefBased/>
  <w15:docId w15:val="{3AD6F402-26AC-4276-8CB4-239132E6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05D"/>
  </w:style>
  <w:style w:type="paragraph" w:styleId="Heading1">
    <w:name w:val="heading 1"/>
    <w:basedOn w:val="Normal"/>
    <w:next w:val="Normal"/>
    <w:link w:val="Heading1Char"/>
    <w:uiPriority w:val="9"/>
    <w:qFormat/>
    <w:rsid w:val="00826DB4"/>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26DB4"/>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DB4"/>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26DB4"/>
    <w:rPr>
      <w:rFonts w:asciiTheme="majorHAnsi" w:eastAsiaTheme="majorEastAsia" w:hAnsiTheme="majorHAnsi"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Toth</dc:creator>
  <cp:keywords/>
  <dc:description/>
  <cp:lastModifiedBy>William Toth</cp:lastModifiedBy>
  <cp:revision>1</cp:revision>
  <dcterms:created xsi:type="dcterms:W3CDTF">2020-02-25T17:16:00Z</dcterms:created>
  <dcterms:modified xsi:type="dcterms:W3CDTF">2020-02-25T17:16:00Z</dcterms:modified>
</cp:coreProperties>
</file>