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06040" w14:textId="73726A9D" w:rsidR="00864B06" w:rsidRDefault="00F5075D">
      <w:bookmarkStart w:id="0" w:name="_GoBack"/>
      <w:r>
        <w:t>Rotation F2R8 – Leadership in Health IT</w:t>
      </w:r>
    </w:p>
    <w:bookmarkEnd w:id="0"/>
    <w:p w14:paraId="0770FD1A" w14:textId="7DF86AFF" w:rsidR="00F5075D" w:rsidRDefault="00F5075D" w:rsidP="00F5075D">
      <w:pPr>
        <w:spacing w:after="0" w:line="276" w:lineRule="auto"/>
        <w:rPr>
          <w:rFonts w:ascii="TimesNewRoman" w:eastAsia="Times New Roman" w:hAnsi="TimesNewRoman" w:cs="TimesNewRoman"/>
          <w:color w:val="000000"/>
          <w:sz w:val="24"/>
          <w:szCs w:val="24"/>
          <w:lang w:val="x-none"/>
        </w:rPr>
      </w:pPr>
      <w:r>
        <w:rPr>
          <w:rFonts w:ascii="TimesNewRoman" w:eastAsia="Times New Roman" w:hAnsi="TimesNewRoman" w:cs="TimesNewRoman"/>
          <w:color w:val="000000"/>
          <w:sz w:val="24"/>
          <w:szCs w:val="24"/>
          <w:lang w:val="x-none"/>
        </w:rPr>
        <w:t>5.05. Build support and create alignment for informatics best practices to ensure all stakeholders are active, visible sponsors of informatics within their respective roles</w:t>
      </w:r>
    </w:p>
    <w:p w14:paraId="0C75334D" w14:textId="77777777" w:rsidR="00F5075D" w:rsidRDefault="00F5075D" w:rsidP="00F5075D">
      <w:pPr>
        <w:autoSpaceDE w:val="0"/>
        <w:autoSpaceDN w:val="0"/>
        <w:adjustRightInd w:val="0"/>
        <w:snapToGrid w:val="0"/>
        <w:spacing w:after="0" w:line="276" w:lineRule="auto"/>
        <w:rPr>
          <w:rFonts w:ascii="TimesNewRoman" w:eastAsia="Times New Roman" w:hAnsi="TimesNewRoman" w:cs="TimesNewRoman"/>
          <w:color w:val="000000"/>
          <w:sz w:val="24"/>
          <w:szCs w:val="24"/>
          <w:lang w:val="x-none"/>
        </w:rPr>
      </w:pPr>
      <w:r>
        <w:rPr>
          <w:rFonts w:ascii="TimesNewRoman" w:eastAsia="Times New Roman" w:hAnsi="TimesNewRoman" w:cs="TimesNewRoman"/>
          <w:color w:val="000000"/>
          <w:sz w:val="24"/>
          <w:szCs w:val="24"/>
          <w:lang w:val="x-none"/>
        </w:rPr>
        <w:t>5.08. Engage, educate, supervise, and/or mentor clinicians and other healthcare team members in their use of clinical informatics tools, systems, and processes.</w:t>
      </w:r>
    </w:p>
    <w:p w14:paraId="073DB804" w14:textId="77777777" w:rsidR="00F5075D" w:rsidRDefault="00F5075D" w:rsidP="00F5075D">
      <w:pPr>
        <w:autoSpaceDE w:val="0"/>
        <w:autoSpaceDN w:val="0"/>
        <w:adjustRightInd w:val="0"/>
        <w:snapToGrid w:val="0"/>
        <w:spacing w:after="0" w:line="276" w:lineRule="auto"/>
        <w:rPr>
          <w:rFonts w:ascii="TimesNewRoman" w:eastAsia="Times New Roman" w:hAnsi="TimesNewRoman" w:cs="TimesNewRoman"/>
          <w:color w:val="000000"/>
          <w:sz w:val="24"/>
          <w:szCs w:val="24"/>
          <w:lang w:val="x-none"/>
        </w:rPr>
      </w:pPr>
      <w:r>
        <w:rPr>
          <w:rFonts w:ascii="TimesNewRoman" w:eastAsia="Times New Roman" w:hAnsi="TimesNewRoman" w:cs="TimesNewRoman"/>
          <w:color w:val="000000"/>
          <w:sz w:val="24"/>
          <w:szCs w:val="24"/>
          <w:lang w:val="x-none"/>
        </w:rPr>
        <w:t>5.09. Manage and advance collaboration with healthcare team members, patients, members of the care community, external organizations, and vendors.</w:t>
      </w:r>
    </w:p>
    <w:p w14:paraId="3E2DAEE0" w14:textId="34AFA4BE" w:rsidR="00F5075D" w:rsidRDefault="00F5075D" w:rsidP="00F5075D">
      <w:pPr>
        <w:spacing w:after="0" w:line="276" w:lineRule="auto"/>
      </w:pPr>
    </w:p>
    <w:p w14:paraId="0ED7EC4E" w14:textId="77777777" w:rsidR="00F5075D" w:rsidRDefault="00F5075D" w:rsidP="00F5075D">
      <w:pPr>
        <w:autoSpaceDE w:val="0"/>
        <w:autoSpaceDN w:val="0"/>
        <w:adjustRightInd w:val="0"/>
        <w:snapToGrid w:val="0"/>
        <w:spacing w:after="0" w:line="276" w:lineRule="auto"/>
        <w:rPr>
          <w:rFonts w:ascii="TimesNewRoman" w:eastAsia="Times New Roman" w:hAnsi="TimesNewRoman" w:cs="TimesNewRoman"/>
          <w:color w:val="000000"/>
          <w:sz w:val="24"/>
          <w:szCs w:val="24"/>
          <w:lang w:val="x-none"/>
        </w:rPr>
      </w:pPr>
      <w:r>
        <w:rPr>
          <w:rFonts w:ascii="TimesNewRoman" w:eastAsia="Times New Roman" w:hAnsi="TimesNewRoman" w:cs="TimesNewRoman"/>
          <w:color w:val="000000"/>
          <w:sz w:val="24"/>
          <w:szCs w:val="24"/>
          <w:lang w:val="x-none"/>
        </w:rPr>
        <w:t>K119. Approaches to establishing Health Information Technology (HIT) mission and objectives</w:t>
      </w:r>
    </w:p>
    <w:p w14:paraId="0C911733" w14:textId="77777777" w:rsidR="00F5075D" w:rsidRDefault="00F5075D" w:rsidP="00F5075D">
      <w:pPr>
        <w:autoSpaceDE w:val="0"/>
        <w:autoSpaceDN w:val="0"/>
        <w:adjustRightInd w:val="0"/>
        <w:snapToGrid w:val="0"/>
        <w:spacing w:after="0" w:line="276" w:lineRule="auto"/>
        <w:rPr>
          <w:rFonts w:ascii="TimesNewRoman" w:eastAsia="Times New Roman" w:hAnsi="TimesNewRoman" w:cs="TimesNewRoman"/>
          <w:color w:val="000000"/>
          <w:sz w:val="24"/>
          <w:szCs w:val="24"/>
          <w:lang w:val="x-none"/>
        </w:rPr>
      </w:pPr>
      <w:r>
        <w:rPr>
          <w:rFonts w:ascii="TimesNewRoman" w:eastAsia="Times New Roman" w:hAnsi="TimesNewRoman" w:cs="TimesNewRoman"/>
          <w:color w:val="000000"/>
          <w:sz w:val="24"/>
          <w:szCs w:val="24"/>
          <w:lang w:val="x-none"/>
        </w:rPr>
        <w:t>K120. Communication strategies, including one-on-one, presentation to groups, and asynchronous communication</w:t>
      </w:r>
    </w:p>
    <w:p w14:paraId="3533AF1C" w14:textId="77777777" w:rsidR="00F5075D" w:rsidRDefault="00F5075D" w:rsidP="00F5075D">
      <w:pPr>
        <w:autoSpaceDE w:val="0"/>
        <w:autoSpaceDN w:val="0"/>
        <w:adjustRightInd w:val="0"/>
        <w:snapToGrid w:val="0"/>
        <w:spacing w:after="0" w:line="276" w:lineRule="auto"/>
        <w:rPr>
          <w:rFonts w:ascii="TimesNewRoman" w:eastAsia="Times New Roman" w:hAnsi="TimesNewRoman" w:cs="TimesNewRoman"/>
          <w:color w:val="000000"/>
          <w:sz w:val="24"/>
          <w:szCs w:val="24"/>
          <w:lang w:val="x-none"/>
        </w:rPr>
      </w:pPr>
      <w:r>
        <w:rPr>
          <w:rFonts w:ascii="TimesNewRoman" w:eastAsia="Times New Roman" w:hAnsi="TimesNewRoman" w:cs="TimesNewRoman"/>
          <w:color w:val="000000"/>
          <w:sz w:val="24"/>
          <w:szCs w:val="24"/>
          <w:lang w:val="x-none"/>
        </w:rPr>
        <w:t>K121. Effective communication programs to support and sustain systems implementation</w:t>
      </w:r>
    </w:p>
    <w:p w14:paraId="1AD185C3" w14:textId="77777777" w:rsidR="00F5075D" w:rsidRDefault="00F5075D" w:rsidP="00F5075D">
      <w:pPr>
        <w:autoSpaceDE w:val="0"/>
        <w:autoSpaceDN w:val="0"/>
        <w:adjustRightInd w:val="0"/>
        <w:snapToGrid w:val="0"/>
        <w:spacing w:after="0" w:line="276" w:lineRule="auto"/>
        <w:rPr>
          <w:rFonts w:ascii="TimesNewRoman" w:eastAsia="Times New Roman" w:hAnsi="TimesNewRoman" w:cs="TimesNewRoman"/>
          <w:color w:val="000000"/>
          <w:sz w:val="24"/>
          <w:szCs w:val="24"/>
          <w:lang w:val="x-none"/>
        </w:rPr>
      </w:pPr>
      <w:r>
        <w:rPr>
          <w:rFonts w:ascii="TimesNewRoman" w:eastAsia="Times New Roman" w:hAnsi="TimesNewRoman" w:cs="TimesNewRoman"/>
          <w:color w:val="000000"/>
          <w:sz w:val="24"/>
          <w:szCs w:val="24"/>
          <w:lang w:val="x-none"/>
        </w:rPr>
        <w:t>K122. Writing effectively for various audiences and goals</w:t>
      </w:r>
    </w:p>
    <w:p w14:paraId="15C1CB3B" w14:textId="77777777" w:rsidR="00F5075D" w:rsidRDefault="00F5075D" w:rsidP="00F5075D">
      <w:pPr>
        <w:autoSpaceDE w:val="0"/>
        <w:autoSpaceDN w:val="0"/>
        <w:adjustRightInd w:val="0"/>
        <w:snapToGrid w:val="0"/>
        <w:spacing w:after="0" w:line="276" w:lineRule="auto"/>
        <w:rPr>
          <w:rFonts w:ascii="TimesNewRoman" w:eastAsia="Times New Roman" w:hAnsi="TimesNewRoman" w:cs="TimesNewRoman"/>
          <w:color w:val="000000"/>
          <w:sz w:val="24"/>
          <w:szCs w:val="24"/>
          <w:lang w:val="x-none"/>
        </w:rPr>
      </w:pPr>
      <w:r>
        <w:rPr>
          <w:rFonts w:ascii="TimesNewRoman" w:eastAsia="Times New Roman" w:hAnsi="TimesNewRoman" w:cs="TimesNewRoman"/>
          <w:color w:val="000000"/>
          <w:sz w:val="24"/>
          <w:szCs w:val="24"/>
          <w:lang w:val="x-none"/>
        </w:rPr>
        <w:t>K131. Leadership principles, models, and methods</w:t>
      </w:r>
    </w:p>
    <w:p w14:paraId="469E5659" w14:textId="77777777" w:rsidR="00F5075D" w:rsidRDefault="00F5075D" w:rsidP="00F5075D">
      <w:pPr>
        <w:autoSpaceDE w:val="0"/>
        <w:autoSpaceDN w:val="0"/>
        <w:adjustRightInd w:val="0"/>
        <w:snapToGrid w:val="0"/>
        <w:spacing w:after="0" w:line="276" w:lineRule="auto"/>
        <w:rPr>
          <w:rFonts w:ascii="TimesNewRoman" w:eastAsia="Times New Roman" w:hAnsi="TimesNewRoman" w:cs="TimesNewRoman"/>
          <w:color w:val="000000"/>
          <w:sz w:val="24"/>
          <w:szCs w:val="24"/>
          <w:lang w:val="x-none"/>
        </w:rPr>
      </w:pPr>
      <w:r>
        <w:rPr>
          <w:rFonts w:ascii="TimesNewRoman" w:eastAsia="Times New Roman" w:hAnsi="TimesNewRoman" w:cs="TimesNewRoman"/>
          <w:color w:val="000000"/>
          <w:sz w:val="24"/>
          <w:szCs w:val="24"/>
          <w:lang w:val="x-none"/>
        </w:rPr>
        <w:t>K132. Intergenerational communication techniques</w:t>
      </w:r>
    </w:p>
    <w:p w14:paraId="43636BD9" w14:textId="77777777" w:rsidR="00F5075D" w:rsidRDefault="00F5075D" w:rsidP="00F5075D">
      <w:pPr>
        <w:autoSpaceDE w:val="0"/>
        <w:autoSpaceDN w:val="0"/>
        <w:adjustRightInd w:val="0"/>
        <w:snapToGrid w:val="0"/>
        <w:spacing w:after="0" w:line="276" w:lineRule="auto"/>
        <w:rPr>
          <w:rFonts w:ascii="TimesNewRoman" w:eastAsia="Times New Roman" w:hAnsi="TimesNewRoman" w:cs="TimesNewRoman"/>
          <w:color w:val="000000"/>
          <w:sz w:val="24"/>
          <w:szCs w:val="24"/>
          <w:lang w:val="x-none"/>
        </w:rPr>
      </w:pPr>
      <w:r>
        <w:rPr>
          <w:rFonts w:ascii="TimesNewRoman" w:eastAsia="Times New Roman" w:hAnsi="TimesNewRoman" w:cs="TimesNewRoman"/>
          <w:color w:val="000000"/>
          <w:sz w:val="24"/>
          <w:szCs w:val="24"/>
          <w:lang w:val="x-none"/>
        </w:rPr>
        <w:t>K133. Coaching, mentoring, championing and cheerleading methods</w:t>
      </w:r>
    </w:p>
    <w:p w14:paraId="514FE19E" w14:textId="77777777" w:rsidR="00F5075D" w:rsidRDefault="00F5075D" w:rsidP="00F5075D">
      <w:pPr>
        <w:spacing w:after="0" w:line="276" w:lineRule="auto"/>
      </w:pPr>
    </w:p>
    <w:sectPr w:rsidR="00F507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5D"/>
    <w:rsid w:val="00694BDC"/>
    <w:rsid w:val="00864B06"/>
    <w:rsid w:val="00DD190D"/>
    <w:rsid w:val="00F5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16758"/>
  <w15:chartTrackingRefBased/>
  <w15:docId w15:val="{CE0CB44E-487E-40A1-A067-69195110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Marshall</dc:creator>
  <cp:keywords/>
  <dc:description/>
  <cp:lastModifiedBy>Bob Marshall</cp:lastModifiedBy>
  <cp:revision>1</cp:revision>
  <dcterms:created xsi:type="dcterms:W3CDTF">2020-01-20T05:15:00Z</dcterms:created>
  <dcterms:modified xsi:type="dcterms:W3CDTF">2020-01-20T05:22:00Z</dcterms:modified>
</cp:coreProperties>
</file>