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D6D29" w14:textId="0333582E" w:rsidR="00864B06" w:rsidRDefault="00E859E7">
      <w:bookmarkStart w:id="0" w:name="_GoBack"/>
      <w:r>
        <w:t>Rotation F2R7 – Programming and Change Management</w:t>
      </w:r>
    </w:p>
    <w:bookmarkEnd w:id="0"/>
    <w:p w14:paraId="50D3D1AF" w14:textId="77868B4B" w:rsidR="00E859E7" w:rsidRDefault="00E859E7">
      <w:r>
        <w:t>Fundamentals:</w:t>
      </w:r>
    </w:p>
    <w:p w14:paraId="79922562" w14:textId="77777777" w:rsidR="00E859E7" w:rsidRDefault="00E859E7" w:rsidP="00E859E7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</w:pPr>
      <w:r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  <w:t>K006. Computer programming fundamentals and computational thinking</w:t>
      </w:r>
    </w:p>
    <w:p w14:paraId="7F9AA4FE" w14:textId="62FDDC4B" w:rsidR="00E859E7" w:rsidRDefault="00E859E7"/>
    <w:p w14:paraId="3FF90F99" w14:textId="239E88C0" w:rsidR="00E859E7" w:rsidRDefault="00E859E7">
      <w:r>
        <w:t>Programming:</w:t>
      </w:r>
    </w:p>
    <w:p w14:paraId="66B19A9E" w14:textId="77777777" w:rsidR="00E859E7" w:rsidRDefault="00E859E7" w:rsidP="00E859E7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</w:pPr>
      <w:r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  <w:t>K064. Clinical system functional requirements</w:t>
      </w:r>
    </w:p>
    <w:p w14:paraId="13F0E9FF" w14:textId="77777777" w:rsidR="00E859E7" w:rsidRDefault="00E859E7"/>
    <w:p w14:paraId="01DA4C51" w14:textId="432B6F83" w:rsidR="00E859E7" w:rsidRDefault="00E859E7">
      <w:r>
        <w:t>Change Management:</w:t>
      </w:r>
    </w:p>
    <w:p w14:paraId="1F47BFC2" w14:textId="77777777" w:rsidR="00E859E7" w:rsidRDefault="00E859E7" w:rsidP="00E859E7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</w:pPr>
      <w:r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  <w:t>5.07. Lead and manage planned and unplanned changes associated with implementing and optimizing clinical information systems to promote adoption by health professionals.</w:t>
      </w:r>
    </w:p>
    <w:p w14:paraId="1E943B63" w14:textId="77777777" w:rsidR="00E859E7" w:rsidRDefault="00E859E7" w:rsidP="00E859E7">
      <w:pPr>
        <w:autoSpaceDE w:val="0"/>
        <w:autoSpaceDN w:val="0"/>
        <w:adjustRightInd w:val="0"/>
        <w:snapToGrid w:val="0"/>
        <w:spacing w:before="497" w:after="0" w:line="240" w:lineRule="auto"/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</w:pPr>
      <w:r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  <w:t>5.08. Engage, educate, supervise, and/or mentor clinicians and other healthcare team members in their use of clinical informatics tools, systems, and processes.</w:t>
      </w:r>
    </w:p>
    <w:p w14:paraId="37B70A80" w14:textId="77777777" w:rsidR="00E859E7" w:rsidRDefault="00E859E7" w:rsidP="00E859E7">
      <w:pPr>
        <w:autoSpaceDE w:val="0"/>
        <w:autoSpaceDN w:val="0"/>
        <w:adjustRightInd w:val="0"/>
        <w:snapToGrid w:val="0"/>
        <w:spacing w:before="500" w:after="0" w:line="240" w:lineRule="auto"/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</w:pPr>
      <w:r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  <w:t>5.09. Manage and advance collaboration with healthcare team members, patients, members of the care community, external organizations, and vendors.</w:t>
      </w:r>
    </w:p>
    <w:p w14:paraId="7461DADD" w14:textId="041A998F" w:rsidR="00E859E7" w:rsidRDefault="00E859E7"/>
    <w:p w14:paraId="5DDF3824" w14:textId="77777777" w:rsidR="00E859E7" w:rsidRDefault="00E859E7" w:rsidP="00E859E7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</w:pPr>
      <w:r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  <w:t>K125. Change management principles, models, and methods</w:t>
      </w:r>
    </w:p>
    <w:p w14:paraId="5779B0C4" w14:textId="77777777" w:rsidR="00E859E7" w:rsidRDefault="00E859E7" w:rsidP="00E859E7">
      <w:pPr>
        <w:autoSpaceDE w:val="0"/>
        <w:autoSpaceDN w:val="0"/>
        <w:adjustRightInd w:val="0"/>
        <w:snapToGrid w:val="0"/>
        <w:spacing w:before="137" w:after="0" w:line="240" w:lineRule="auto"/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</w:pPr>
      <w:r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  <w:t>K126. Assessment of organizational culture and behavior change theories</w:t>
      </w:r>
    </w:p>
    <w:p w14:paraId="727F3A6C" w14:textId="77777777" w:rsidR="00E859E7" w:rsidRDefault="00E859E7" w:rsidP="00E859E7">
      <w:pPr>
        <w:autoSpaceDE w:val="0"/>
        <w:autoSpaceDN w:val="0"/>
        <w:adjustRightInd w:val="0"/>
        <w:snapToGrid w:val="0"/>
        <w:spacing w:before="413" w:after="0" w:line="240" w:lineRule="auto"/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</w:pPr>
      <w:r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  <w:t>K127. Theory and methods for promoting the adoption and effective use of clinical information systems</w:t>
      </w:r>
    </w:p>
    <w:p w14:paraId="15F13EAB" w14:textId="77777777" w:rsidR="00E859E7" w:rsidRDefault="00E859E7" w:rsidP="00E859E7">
      <w:pPr>
        <w:autoSpaceDE w:val="0"/>
        <w:autoSpaceDN w:val="0"/>
        <w:adjustRightInd w:val="0"/>
        <w:snapToGrid w:val="0"/>
        <w:spacing w:before="139" w:after="0" w:line="240" w:lineRule="auto"/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</w:pPr>
      <w:r>
        <w:rPr>
          <w:rFonts w:ascii="TimesNewRoman" w:eastAsia="Times New Roman" w:hAnsi="TimesNewRoman" w:cs="TimesNewRoman"/>
          <w:color w:val="000000"/>
          <w:sz w:val="24"/>
          <w:szCs w:val="24"/>
          <w:lang w:val="x-none"/>
        </w:rPr>
        <w:t>K128. Motivational strategies, methods, and techniques</w:t>
      </w:r>
    </w:p>
    <w:p w14:paraId="0B81BA40" w14:textId="77777777" w:rsidR="00E859E7" w:rsidRDefault="00E859E7"/>
    <w:sectPr w:rsidR="00E85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E7"/>
    <w:rsid w:val="00694BDC"/>
    <w:rsid w:val="00864B06"/>
    <w:rsid w:val="00DD190D"/>
    <w:rsid w:val="00E8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8120B"/>
  <w15:chartTrackingRefBased/>
  <w15:docId w15:val="{40A5426C-7324-4C9B-BE6F-A31875B6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Marshall</dc:creator>
  <cp:keywords/>
  <dc:description/>
  <cp:lastModifiedBy>Bob Marshall</cp:lastModifiedBy>
  <cp:revision>1</cp:revision>
  <dcterms:created xsi:type="dcterms:W3CDTF">2020-01-20T05:05:00Z</dcterms:created>
  <dcterms:modified xsi:type="dcterms:W3CDTF">2020-01-20T05:15:00Z</dcterms:modified>
</cp:coreProperties>
</file>