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06C41" w14:textId="77777777" w:rsidR="00864B06" w:rsidRDefault="005C0F05">
      <w:pPr>
        <w:rPr>
          <w:rFonts w:cstheme="minorHAnsi"/>
          <w:b/>
          <w:bCs/>
          <w:sz w:val="32"/>
          <w:szCs w:val="32"/>
        </w:rPr>
      </w:pPr>
      <w:bookmarkStart w:id="0" w:name="_GoBack"/>
      <w:bookmarkEnd w:id="0"/>
      <w:r w:rsidRPr="00D64DC5">
        <w:rPr>
          <w:rFonts w:cstheme="minorHAnsi"/>
          <w:b/>
          <w:bCs/>
          <w:sz w:val="32"/>
          <w:szCs w:val="32"/>
        </w:rPr>
        <w:t>Longitudinal Curriculum</w:t>
      </w:r>
    </w:p>
    <w:p w14:paraId="6BC5DE9D" w14:textId="77777777" w:rsidR="00A219A7" w:rsidRPr="00A219A7" w:rsidRDefault="00A219A7">
      <w:pPr>
        <w:rPr>
          <w:rFonts w:cstheme="minorHAnsi"/>
          <w:b/>
          <w:bCs/>
          <w:sz w:val="24"/>
          <w:szCs w:val="24"/>
        </w:rPr>
      </w:pPr>
      <w:r>
        <w:rPr>
          <w:rFonts w:cstheme="minorHAnsi"/>
          <w:b/>
          <w:bCs/>
          <w:sz w:val="24"/>
          <w:szCs w:val="24"/>
        </w:rPr>
        <w:t>Note: K=Knowledge from new CI Core Content; Number/no letter=Skill from new CI Core Content</w:t>
      </w:r>
    </w:p>
    <w:p w14:paraId="20FA278C" w14:textId="77777777" w:rsidR="005C0F05" w:rsidRPr="00D64DC5" w:rsidRDefault="005C0F05" w:rsidP="005C0F05">
      <w:pPr>
        <w:pStyle w:val="ListParagraph"/>
        <w:numPr>
          <w:ilvl w:val="0"/>
          <w:numId w:val="1"/>
        </w:numPr>
        <w:rPr>
          <w:rFonts w:cstheme="minorHAnsi"/>
          <w:b/>
          <w:bCs/>
          <w:sz w:val="24"/>
          <w:szCs w:val="24"/>
        </w:rPr>
      </w:pPr>
      <w:r w:rsidRPr="00D64DC5">
        <w:rPr>
          <w:rFonts w:cstheme="minorHAnsi"/>
          <w:b/>
          <w:bCs/>
          <w:sz w:val="24"/>
          <w:szCs w:val="24"/>
        </w:rPr>
        <w:t>Leadership/Change Management</w:t>
      </w:r>
    </w:p>
    <w:p w14:paraId="37CBD8BD"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Management versus Leadership</w:t>
      </w:r>
    </w:p>
    <w:p w14:paraId="22468AF3"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Types of leadership</w:t>
      </w:r>
    </w:p>
    <w:p w14:paraId="074D6047"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Learning and applying leadership principles</w:t>
      </w:r>
    </w:p>
    <w:p w14:paraId="3E7328A8"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 xml:space="preserve">Leadership and coaching, mentorship, </w:t>
      </w:r>
    </w:p>
    <w:p w14:paraId="62EB9CF4"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Principles of change management</w:t>
      </w:r>
    </w:p>
    <w:p w14:paraId="03F13A60"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Effectively applying change management</w:t>
      </w:r>
    </w:p>
    <w:p w14:paraId="58592068"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Situational change management</w:t>
      </w:r>
    </w:p>
    <w:p w14:paraId="6E3D2413"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Situational leadership</w:t>
      </w:r>
    </w:p>
    <w:p w14:paraId="3A9DD521"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Avoiding leadership and change management pitfalls</w:t>
      </w:r>
    </w:p>
    <w:p w14:paraId="54061FF0" w14:textId="77777777" w:rsidR="00923615" w:rsidRPr="00D64DC5" w:rsidRDefault="00923615" w:rsidP="005C0F05">
      <w:pPr>
        <w:pStyle w:val="ListParagraph"/>
        <w:numPr>
          <w:ilvl w:val="1"/>
          <w:numId w:val="1"/>
        </w:numPr>
        <w:rPr>
          <w:rFonts w:cstheme="minorHAnsi"/>
          <w:sz w:val="24"/>
          <w:szCs w:val="24"/>
        </w:rPr>
      </w:pPr>
      <w:r w:rsidRPr="00D64DC5">
        <w:rPr>
          <w:rFonts w:cstheme="minorHAnsi"/>
          <w:sz w:val="24"/>
          <w:szCs w:val="24"/>
        </w:rPr>
        <w:t>Conflict management</w:t>
      </w:r>
    </w:p>
    <w:p w14:paraId="0A0428EF" w14:textId="77777777" w:rsidR="00923615" w:rsidRPr="00D64DC5" w:rsidRDefault="00923615" w:rsidP="005C0F05">
      <w:pPr>
        <w:pStyle w:val="ListParagraph"/>
        <w:numPr>
          <w:ilvl w:val="1"/>
          <w:numId w:val="1"/>
        </w:numPr>
        <w:rPr>
          <w:rFonts w:cstheme="minorHAnsi"/>
          <w:sz w:val="24"/>
          <w:szCs w:val="24"/>
        </w:rPr>
      </w:pPr>
      <w:r w:rsidRPr="00D64DC5">
        <w:rPr>
          <w:rFonts w:cstheme="minorHAnsi"/>
          <w:sz w:val="24"/>
          <w:szCs w:val="24"/>
        </w:rPr>
        <w:t>Negotiation</w:t>
      </w:r>
    </w:p>
    <w:p w14:paraId="5CA31E22" w14:textId="77777777" w:rsidR="00923615" w:rsidRPr="00D64DC5" w:rsidRDefault="00923615" w:rsidP="005C0F05">
      <w:pPr>
        <w:pStyle w:val="ListParagraph"/>
        <w:numPr>
          <w:ilvl w:val="1"/>
          <w:numId w:val="1"/>
        </w:numPr>
        <w:rPr>
          <w:rFonts w:cstheme="minorHAnsi"/>
          <w:sz w:val="24"/>
          <w:szCs w:val="24"/>
        </w:rPr>
      </w:pPr>
      <w:r w:rsidRPr="00D64DC5">
        <w:rPr>
          <w:rFonts w:cstheme="minorHAnsi"/>
          <w:sz w:val="24"/>
          <w:szCs w:val="24"/>
        </w:rPr>
        <w:t>Leading teams</w:t>
      </w:r>
    </w:p>
    <w:p w14:paraId="78C7D8DD"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 xml:space="preserve">5.04. </w:t>
      </w:r>
      <w:r w:rsidR="00A219A7">
        <w:rPr>
          <w:rFonts w:eastAsia="Times New Roman" w:cstheme="minorHAnsi"/>
          <w:color w:val="000000"/>
          <w:sz w:val="24"/>
          <w:szCs w:val="24"/>
        </w:rPr>
        <w:t>(</w:t>
      </w:r>
      <w:r w:rsidR="00A219A7" w:rsidRPr="00A219A7">
        <w:rPr>
          <w:rFonts w:eastAsia="Times New Roman" w:cstheme="minorHAnsi"/>
          <w:color w:val="000000"/>
          <w:sz w:val="24"/>
          <w:szCs w:val="24"/>
          <w:u w:val="single"/>
        </w:rPr>
        <w:t>Skill</w:t>
      </w:r>
      <w:r w:rsidR="00A219A7">
        <w:rPr>
          <w:rFonts w:eastAsia="Times New Roman" w:cstheme="minorHAnsi"/>
          <w:color w:val="000000"/>
          <w:sz w:val="24"/>
          <w:szCs w:val="24"/>
        </w:rPr>
        <w:t xml:space="preserve">) </w:t>
      </w:r>
      <w:r w:rsidRPr="00D64DC5">
        <w:rPr>
          <w:rFonts w:eastAsia="Times New Roman" w:cstheme="minorHAnsi"/>
          <w:color w:val="000000"/>
          <w:sz w:val="24"/>
          <w:szCs w:val="24"/>
          <w:lang w:val="x-none"/>
        </w:rPr>
        <w:t>Improve care delivery and outcomes and advance the mission of the organization through effective communication, negotiation, and conflict management.</w:t>
      </w:r>
    </w:p>
    <w:p w14:paraId="25D78050" w14:textId="77777777" w:rsidR="00D64DC5" w:rsidRPr="00D64DC5" w:rsidRDefault="00D64DC5" w:rsidP="00D64DC5">
      <w:pPr>
        <w:pStyle w:val="ListParagraph"/>
        <w:numPr>
          <w:ilvl w:val="1"/>
          <w:numId w:val="1"/>
        </w:numPr>
        <w:autoSpaceDE w:val="0"/>
        <w:autoSpaceDN w:val="0"/>
        <w:adjustRightInd w:val="0"/>
        <w:snapToGrid w:val="0"/>
        <w:spacing w:before="49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5.05. Build support and create alignment for informatics best practices to ensure all stakeholders are active, visible sponsors of informatics within their respective roles.</w:t>
      </w:r>
    </w:p>
    <w:p w14:paraId="57623170"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5.07. Lead and manage planned and unplanned changes associated with implementing and optimizing clinical information systems to promote adoption by health professionals.</w:t>
      </w:r>
    </w:p>
    <w:p w14:paraId="6D0F6E40" w14:textId="77777777" w:rsidR="00D64DC5" w:rsidRPr="00D64DC5" w:rsidRDefault="00D64DC5" w:rsidP="00D64DC5">
      <w:pPr>
        <w:pStyle w:val="ListParagraph"/>
        <w:numPr>
          <w:ilvl w:val="1"/>
          <w:numId w:val="1"/>
        </w:numPr>
        <w:autoSpaceDE w:val="0"/>
        <w:autoSpaceDN w:val="0"/>
        <w:adjustRightInd w:val="0"/>
        <w:snapToGrid w:val="0"/>
        <w:spacing w:before="49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5.08. Engage, educate, supervise, and/or mentor clinicians and other healthcare team members in their use of clinical informatics tools, systems, and processes.</w:t>
      </w:r>
    </w:p>
    <w:p w14:paraId="040581EB" w14:textId="77777777" w:rsidR="00D64DC5" w:rsidRPr="00D64DC5" w:rsidRDefault="00D64DC5" w:rsidP="00D64DC5">
      <w:pPr>
        <w:pStyle w:val="ListParagraph"/>
        <w:numPr>
          <w:ilvl w:val="1"/>
          <w:numId w:val="1"/>
        </w:numPr>
        <w:autoSpaceDE w:val="0"/>
        <w:autoSpaceDN w:val="0"/>
        <w:adjustRightInd w:val="0"/>
        <w:snapToGrid w:val="0"/>
        <w:spacing w:before="500"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5.09. Manage and advance collaboration with healthcare team members, patients, members of the care community, external organizations, and vendors.</w:t>
      </w:r>
    </w:p>
    <w:p w14:paraId="6255C0CD"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 xml:space="preserve">K112. </w:t>
      </w:r>
      <w:r w:rsidR="00A219A7">
        <w:rPr>
          <w:rFonts w:eastAsia="Times New Roman" w:cstheme="minorHAnsi"/>
          <w:color w:val="000000"/>
          <w:sz w:val="24"/>
          <w:szCs w:val="24"/>
        </w:rPr>
        <w:t>(</w:t>
      </w:r>
      <w:r w:rsidR="00A219A7" w:rsidRPr="00A219A7">
        <w:rPr>
          <w:rFonts w:eastAsia="Times New Roman" w:cstheme="minorHAnsi"/>
          <w:color w:val="000000"/>
          <w:sz w:val="24"/>
          <w:szCs w:val="24"/>
          <w:u w:val="single"/>
        </w:rPr>
        <w:t>Knowledge</w:t>
      </w:r>
      <w:r w:rsidR="00A219A7">
        <w:rPr>
          <w:rFonts w:eastAsia="Times New Roman" w:cstheme="minorHAnsi"/>
          <w:color w:val="000000"/>
          <w:sz w:val="24"/>
          <w:szCs w:val="24"/>
        </w:rPr>
        <w:t xml:space="preserve">) </w:t>
      </w:r>
      <w:r w:rsidRPr="00D64DC5">
        <w:rPr>
          <w:rFonts w:eastAsia="Times New Roman" w:cstheme="minorHAnsi"/>
          <w:color w:val="000000"/>
          <w:sz w:val="24"/>
          <w:szCs w:val="24"/>
          <w:lang w:val="x-none"/>
        </w:rPr>
        <w:t>Environmental scanning and assessment methods and techniques</w:t>
      </w:r>
    </w:p>
    <w:p w14:paraId="0ED26DAA"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K113. Consensus building, collaboration, and conflict management</w:t>
      </w:r>
    </w:p>
    <w:p w14:paraId="39C5C988"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K123. Negotiation strategies, methods, and techniques</w:t>
      </w:r>
    </w:p>
    <w:p w14:paraId="73D137C7"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K124. Conflict management strategies, methods, and techniques</w:t>
      </w:r>
    </w:p>
    <w:p w14:paraId="3C55B12C"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K125. Change management principles, models, and methods</w:t>
      </w:r>
    </w:p>
    <w:p w14:paraId="3E7AC3C5"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K126. Assessment of organizational culture and behavior change theories</w:t>
      </w:r>
    </w:p>
    <w:p w14:paraId="06B52DCB" w14:textId="77777777" w:rsidR="00D64DC5" w:rsidRP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K127. Theory and methods for promoting the adoption and effective use of clinical information systems</w:t>
      </w:r>
    </w:p>
    <w:p w14:paraId="6FAA7453"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K128. Motivational strategies, methods, and techniques</w:t>
      </w:r>
    </w:p>
    <w:p w14:paraId="793D7B1A"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K131. Leadership principles, models, and methods</w:t>
      </w:r>
    </w:p>
    <w:p w14:paraId="46A88477"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K132. Intergenerational communication techniques</w:t>
      </w:r>
    </w:p>
    <w:p w14:paraId="49EE91FC" w14:textId="77777777" w:rsidR="00D64DC5" w:rsidRPr="00D64DC5" w:rsidRDefault="00D64DC5" w:rsidP="00D64DC5">
      <w:pPr>
        <w:pStyle w:val="ListParagraph"/>
        <w:numPr>
          <w:ilvl w:val="1"/>
          <w:numId w:val="1"/>
        </w:numPr>
        <w:autoSpaceDE w:val="0"/>
        <w:autoSpaceDN w:val="0"/>
        <w:adjustRightInd w:val="0"/>
        <w:snapToGrid w:val="0"/>
        <w:spacing w:before="138"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lastRenderedPageBreak/>
        <w:t>K133. Coaching, mentoring, championing and cheerleading methods</w:t>
      </w:r>
    </w:p>
    <w:p w14:paraId="606358B2"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K137. Principles, models, and methods for building and managing effective interdisciplinary teams</w:t>
      </w:r>
    </w:p>
    <w:p w14:paraId="5E4E90EF" w14:textId="77777777" w:rsidR="00D64DC5" w:rsidRPr="00D64DC5" w:rsidRDefault="00D64DC5" w:rsidP="00D64DC5">
      <w:pPr>
        <w:pStyle w:val="ListParagraph"/>
        <w:numPr>
          <w:ilvl w:val="1"/>
          <w:numId w:val="1"/>
        </w:numPr>
        <w:autoSpaceDE w:val="0"/>
        <w:autoSpaceDN w:val="0"/>
        <w:adjustRightInd w:val="0"/>
        <w:snapToGrid w:val="0"/>
        <w:spacing w:before="68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K138. Team productivity and effectiveness (e.g., articulating team goals, defining rules of operation, clarifying individual roles, team management, identifying and addressing challenges)</w:t>
      </w:r>
    </w:p>
    <w:p w14:paraId="071B0CBA" w14:textId="77777777" w:rsidR="005C0F05" w:rsidRPr="00D64DC5" w:rsidRDefault="005C0F05" w:rsidP="005C0F05">
      <w:pPr>
        <w:pStyle w:val="ListParagraph"/>
        <w:numPr>
          <w:ilvl w:val="0"/>
          <w:numId w:val="1"/>
        </w:numPr>
        <w:rPr>
          <w:rFonts w:cstheme="minorHAnsi"/>
          <w:b/>
          <w:bCs/>
          <w:sz w:val="24"/>
          <w:szCs w:val="24"/>
        </w:rPr>
      </w:pPr>
      <w:r w:rsidRPr="00D64DC5">
        <w:rPr>
          <w:rFonts w:cstheme="minorHAnsi"/>
          <w:b/>
          <w:bCs/>
          <w:sz w:val="24"/>
          <w:szCs w:val="24"/>
        </w:rPr>
        <w:t>Project Management</w:t>
      </w:r>
    </w:p>
    <w:p w14:paraId="33C3DE43" w14:textId="77777777" w:rsidR="00923615" w:rsidRPr="00D64DC5" w:rsidRDefault="00923615" w:rsidP="00923615">
      <w:pPr>
        <w:pStyle w:val="ListParagraph"/>
        <w:numPr>
          <w:ilvl w:val="1"/>
          <w:numId w:val="1"/>
        </w:numPr>
        <w:rPr>
          <w:rFonts w:cstheme="minorHAnsi"/>
          <w:sz w:val="24"/>
          <w:szCs w:val="24"/>
        </w:rPr>
      </w:pPr>
      <w:r w:rsidRPr="00D64DC5">
        <w:rPr>
          <w:rFonts w:cstheme="minorHAnsi"/>
          <w:sz w:val="24"/>
          <w:szCs w:val="24"/>
        </w:rPr>
        <w:t xml:space="preserve">Overview of project management </w:t>
      </w:r>
    </w:p>
    <w:p w14:paraId="7C328DFF" w14:textId="77777777" w:rsidR="00923615" w:rsidRPr="00D64DC5" w:rsidRDefault="00923615" w:rsidP="00923615">
      <w:pPr>
        <w:pStyle w:val="ListParagraph"/>
        <w:numPr>
          <w:ilvl w:val="1"/>
          <w:numId w:val="1"/>
        </w:numPr>
        <w:rPr>
          <w:rFonts w:cstheme="minorHAnsi"/>
          <w:sz w:val="24"/>
          <w:szCs w:val="24"/>
        </w:rPr>
      </w:pPr>
      <w:r w:rsidRPr="00D64DC5">
        <w:rPr>
          <w:rFonts w:cstheme="minorHAnsi"/>
          <w:sz w:val="24"/>
          <w:szCs w:val="24"/>
        </w:rPr>
        <w:t>Project management software – what to use and when</w:t>
      </w:r>
    </w:p>
    <w:p w14:paraId="3A7E71CA" w14:textId="77777777" w:rsidR="00923615" w:rsidRPr="00D64DC5" w:rsidRDefault="00923615" w:rsidP="00923615">
      <w:pPr>
        <w:pStyle w:val="ListParagraph"/>
        <w:numPr>
          <w:ilvl w:val="1"/>
          <w:numId w:val="1"/>
        </w:numPr>
        <w:rPr>
          <w:rFonts w:cstheme="minorHAnsi"/>
          <w:sz w:val="24"/>
          <w:szCs w:val="24"/>
        </w:rPr>
      </w:pPr>
      <w:r w:rsidRPr="00D64DC5">
        <w:rPr>
          <w:rFonts w:cstheme="minorHAnsi"/>
          <w:sz w:val="24"/>
          <w:szCs w:val="24"/>
        </w:rPr>
        <w:t>PMI/PMBOK perspectives on project management</w:t>
      </w:r>
    </w:p>
    <w:p w14:paraId="1FE0197E"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5.06. Leverage the processes and principles of project management to drive the successful completion of projects on time, within scope, and within budget.</w:t>
      </w:r>
    </w:p>
    <w:p w14:paraId="733EB8B5"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K129. Basic principles and practices of project management</w:t>
      </w:r>
    </w:p>
    <w:p w14:paraId="4840F1F6"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K130. Project management tools and techniques</w:t>
      </w:r>
    </w:p>
    <w:p w14:paraId="7E8F4E18" w14:textId="77777777" w:rsidR="00923615" w:rsidRPr="00D64DC5" w:rsidRDefault="00D64DC5" w:rsidP="00923615">
      <w:pPr>
        <w:pStyle w:val="ListParagraph"/>
        <w:numPr>
          <w:ilvl w:val="1"/>
          <w:numId w:val="1"/>
        </w:numPr>
        <w:rPr>
          <w:rFonts w:cstheme="minorHAnsi"/>
          <w:sz w:val="24"/>
          <w:szCs w:val="24"/>
        </w:rPr>
      </w:pPr>
      <w:r>
        <w:rPr>
          <w:rFonts w:cstheme="minorHAnsi"/>
          <w:sz w:val="24"/>
          <w:szCs w:val="24"/>
        </w:rPr>
        <w:t>Appropriately applying PM principles to tasks</w:t>
      </w:r>
    </w:p>
    <w:p w14:paraId="5AB3E5DA" w14:textId="77777777" w:rsidR="005C0F05" w:rsidRPr="00D64DC5" w:rsidRDefault="005C0F05" w:rsidP="005C0F05">
      <w:pPr>
        <w:pStyle w:val="ListParagraph"/>
        <w:numPr>
          <w:ilvl w:val="0"/>
          <w:numId w:val="1"/>
        </w:numPr>
        <w:spacing w:after="0" w:line="240" w:lineRule="auto"/>
        <w:rPr>
          <w:rFonts w:cstheme="minorHAnsi"/>
          <w:b/>
          <w:bCs/>
          <w:sz w:val="24"/>
          <w:szCs w:val="24"/>
        </w:rPr>
      </w:pPr>
      <w:r w:rsidRPr="00D64DC5">
        <w:rPr>
          <w:rFonts w:cstheme="minorHAnsi"/>
          <w:b/>
          <w:bCs/>
          <w:sz w:val="24"/>
          <w:szCs w:val="24"/>
        </w:rPr>
        <w:t>Data Analytics</w:t>
      </w:r>
    </w:p>
    <w:p w14:paraId="4285D534"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Gathering Data - Where can we get data from?</w:t>
      </w:r>
    </w:p>
    <w:p w14:paraId="23511325"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Cleaning Data - Lots of dirt in there, how can we polish it?</w:t>
      </w:r>
    </w:p>
    <w:p w14:paraId="78583174"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Merging Data - As in life, the whole is greater than the sum of its parts Feature Engineering - We often need other ways of looking at data Selecting Data - Let's separate the wheat from the chaff Graphic analysis - A picture is worth a thousand numbers Descriptive analysis - What happened?</w:t>
      </w:r>
    </w:p>
    <w:p w14:paraId="6A6E2620"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Diagnostic analysis - Why did it happen?</w:t>
      </w:r>
    </w:p>
    <w:p w14:paraId="1EB9848D"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Predictive analytics - What will happen?</w:t>
      </w:r>
    </w:p>
    <w:p w14:paraId="4E1ED06A"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Prescriptive analytics - What should happen?</w:t>
      </w:r>
    </w:p>
    <w:p w14:paraId="0F2E5F62"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Production Systems/Decision Aids - Put all the pieces, including human interfaces, together</w:t>
      </w:r>
    </w:p>
    <w:p w14:paraId="010DE329"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Machine Learning</w:t>
      </w:r>
    </w:p>
    <w:p w14:paraId="0CD043FC"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Artificial Intelligence</w:t>
      </w:r>
    </w:p>
    <w:p w14:paraId="2CCCD4D8"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K008. Basic database structure, data retrieval and analytics techniques and tools</w:t>
      </w:r>
    </w:p>
    <w:p w14:paraId="490E2D96"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K012. Development and use of ancillary data standards (e.g., imaging and Laboratory Information System[LIS])</w:t>
      </w:r>
    </w:p>
    <w:p w14:paraId="3FF79DC9" w14:textId="77777777" w:rsidR="00923615" w:rsidRPr="00D64DC5" w:rsidRDefault="00923615" w:rsidP="0092361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K013. Development and use of data model standards</w:t>
      </w:r>
    </w:p>
    <w:p w14:paraId="196CF25A"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K015. Data taxonomies and ontologies</w:t>
      </w:r>
    </w:p>
    <w:p w14:paraId="039A215E"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K025. The flow of data, information, and knowledge within the health system</w:t>
      </w:r>
    </w:p>
    <w:p w14:paraId="4AFECF3E" w14:textId="77777777" w:rsidR="00923615" w:rsidRPr="00D64DC5" w:rsidRDefault="00923615" w:rsidP="0092361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2.04. Identify, execute, interpret, and disseminate measures and/or predictive analytics (e.g., clinical and financial benchmark data, quality performance, regulatory, pay for performance, public health surveillance, patient safety) to provide actionable feedback to improve individual and organizational performance</w:t>
      </w:r>
    </w:p>
    <w:p w14:paraId="2C614AED"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K039. Predictive analytic techniques, indications, and limitations</w:t>
      </w:r>
    </w:p>
    <w:p w14:paraId="2B8431ED"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K048. Use of patient-generated data</w:t>
      </w:r>
    </w:p>
    <w:p w14:paraId="097C240C" w14:textId="77777777" w:rsidR="00923615" w:rsidRPr="00D64DC5" w:rsidRDefault="00923615" w:rsidP="0092361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K049. Prediction models</w:t>
      </w:r>
    </w:p>
    <w:p w14:paraId="7A7F96C1" w14:textId="77777777" w:rsidR="00923615" w:rsidRPr="00D64DC5" w:rsidRDefault="00923615" w:rsidP="0092361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lastRenderedPageBreak/>
        <w:t>K050. Risk stratification and adjustment</w:t>
      </w:r>
    </w:p>
    <w:p w14:paraId="0BC76560" w14:textId="77777777" w:rsidR="00923615" w:rsidRPr="00D64DC5" w:rsidRDefault="00923615" w:rsidP="0092361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3.15. Assess and prioritize the integration of data from medical devices (e.g., pumps, telemetry monitors, consumer devices) into information systems</w:t>
      </w:r>
    </w:p>
    <w:p w14:paraId="7B88BFB4"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4.04. Apply data management techniques (e.g., concept mapping, extract, transform, load [ETL], and validation) to maintain meaning (concept and semantic integrity).</w:t>
      </w:r>
    </w:p>
    <w:p w14:paraId="482F668F" w14:textId="77777777" w:rsidR="00D64DC5" w:rsidRPr="00D64DC5" w:rsidRDefault="00D64DC5" w:rsidP="00D64DC5">
      <w:pPr>
        <w:pStyle w:val="ListParagraph"/>
        <w:numPr>
          <w:ilvl w:val="1"/>
          <w:numId w:val="1"/>
        </w:numPr>
        <w:autoSpaceDE w:val="0"/>
        <w:autoSpaceDN w:val="0"/>
        <w:adjustRightInd w:val="0"/>
        <w:snapToGrid w:val="0"/>
        <w:spacing w:before="68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4.05. Access and incorporate information from emerging data sources (e.g., imaging, bioinformatics, internet of things (IoT), patient-generated, social determinants) to augment the practice of precision medicine.</w:t>
      </w:r>
    </w:p>
    <w:p w14:paraId="5D7E53B0" w14:textId="77777777" w:rsidR="00D64DC5" w:rsidRPr="00D64DC5" w:rsidRDefault="00D64DC5" w:rsidP="00D64DC5">
      <w:pPr>
        <w:pStyle w:val="ListParagraph"/>
        <w:numPr>
          <w:ilvl w:val="1"/>
          <w:numId w:val="1"/>
        </w:numPr>
        <w:autoSpaceDE w:val="0"/>
        <w:autoSpaceDN w:val="0"/>
        <w:adjustRightInd w:val="0"/>
        <w:snapToGrid w:val="0"/>
        <w:spacing w:before="415"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4.06. Create, enhance, and/or leverage information architecture to efficiently store, query, and retrieve data from large data sets.</w:t>
      </w:r>
    </w:p>
    <w:p w14:paraId="525D7BAD" w14:textId="77777777" w:rsidR="00D64DC5" w:rsidRPr="00D64DC5" w:rsidRDefault="00D64DC5" w:rsidP="00D64DC5">
      <w:pPr>
        <w:pStyle w:val="ListParagraph"/>
        <w:numPr>
          <w:ilvl w:val="1"/>
          <w:numId w:val="1"/>
        </w:numPr>
        <w:autoSpaceDE w:val="0"/>
        <w:autoSpaceDN w:val="0"/>
        <w:adjustRightInd w:val="0"/>
        <w:snapToGrid w:val="0"/>
        <w:spacing w:before="68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4.07. Interpret information and apply knowledge gained from data sets using descriptive, diagnostic, predictive, and prescriptive analytic approaches to derive actionable insights.</w:t>
      </w:r>
    </w:p>
    <w:p w14:paraId="675E7589" w14:textId="77777777" w:rsidR="00D64DC5" w:rsidRPr="00D64DC5" w:rsidRDefault="00D64DC5" w:rsidP="00D64DC5">
      <w:pPr>
        <w:pStyle w:val="ListParagraph"/>
        <w:numPr>
          <w:ilvl w:val="1"/>
          <w:numId w:val="1"/>
        </w:numPr>
        <w:autoSpaceDE w:val="0"/>
        <w:autoSpaceDN w:val="0"/>
        <w:adjustRightInd w:val="0"/>
        <w:snapToGrid w:val="0"/>
        <w:spacing w:before="966"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4.08. Employ and deploy advanced and emerging data mining and analytic techniques (including but not limited to data visualization, artificial intelligence, natural language processing, machine learning) to optimize clinical and business decision-making.</w:t>
      </w:r>
    </w:p>
    <w:p w14:paraId="2DCFF2DF"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K088. Metadata and data dictionaries</w:t>
      </w:r>
    </w:p>
    <w:p w14:paraId="1DA51048"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K089. Data life cycle</w:t>
      </w:r>
    </w:p>
    <w:p w14:paraId="606E67A1"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K090. Transactional and reporting/research databases</w:t>
      </w:r>
    </w:p>
    <w:p w14:paraId="068A84A7"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K091. Techniques for the storage of disparate data types</w:t>
      </w:r>
    </w:p>
    <w:p w14:paraId="0B0FA322"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K092. Techniques to extract, transform, and load data</w:t>
      </w:r>
    </w:p>
    <w:p w14:paraId="71F2061F"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K093. Data associated with workflow processes and clinical context</w:t>
      </w:r>
    </w:p>
    <w:p w14:paraId="6CE1CAFF" w14:textId="77777777" w:rsidR="00D64DC5" w:rsidRPr="00D64DC5" w:rsidRDefault="00D64DC5" w:rsidP="00D64DC5">
      <w:pPr>
        <w:pStyle w:val="ListParagraph"/>
        <w:numPr>
          <w:ilvl w:val="1"/>
          <w:numId w:val="1"/>
        </w:numPr>
        <w:autoSpaceDE w:val="0"/>
        <w:autoSpaceDN w:val="0"/>
        <w:adjustRightInd w:val="0"/>
        <w:snapToGrid w:val="0"/>
        <w:spacing w:before="140"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K094. Data management and validation techniques</w:t>
      </w:r>
    </w:p>
    <w:p w14:paraId="2D357CAB"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K095. Standards related to storage and retrieval from specialized and emerging data sources</w:t>
      </w:r>
    </w:p>
    <w:p w14:paraId="77FC727A" w14:textId="77777777" w:rsidR="00D64DC5" w:rsidRP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K096. Types and uses of specialized and emerging data sources (e.g., imaging, bioinformatics, internet of things (IoT), patient-generated, social determinants)</w:t>
      </w:r>
    </w:p>
    <w:p w14:paraId="2AC0A1AA" w14:textId="77777777" w:rsidR="00D64DC5" w:rsidRPr="00D64DC5" w:rsidRDefault="00D64DC5" w:rsidP="00D64DC5">
      <w:pPr>
        <w:pStyle w:val="ListParagraph"/>
        <w:numPr>
          <w:ilvl w:val="1"/>
          <w:numId w:val="1"/>
        </w:numPr>
        <w:autoSpaceDE w:val="0"/>
        <w:autoSpaceDN w:val="0"/>
        <w:adjustRightInd w:val="0"/>
        <w:snapToGrid w:val="0"/>
        <w:spacing w:before="415"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K097. Issues related to integrating emerging data sources into business and clinical decision making</w:t>
      </w:r>
    </w:p>
    <w:p w14:paraId="3B06CD9A"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K098. Information architecture</w:t>
      </w:r>
    </w:p>
    <w:p w14:paraId="0F0A546E"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K099. Query tools and techniques</w:t>
      </w:r>
    </w:p>
    <w:p w14:paraId="1A55BE61" w14:textId="77777777" w:rsid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K100. Flat files, relational and non-relational/NoSQL database structures, distributed file systems</w:t>
      </w:r>
    </w:p>
    <w:p w14:paraId="66754E7A" w14:textId="77777777" w:rsidR="00D64DC5" w:rsidRPr="00D64DC5" w:rsidRDefault="00D64DC5" w:rsidP="00D64DC5">
      <w:pPr>
        <w:pStyle w:val="ListParagraph"/>
        <w:numPr>
          <w:ilvl w:val="1"/>
          <w:numId w:val="1"/>
        </w:numPr>
        <w:tabs>
          <w:tab w:val="left" w:pos="1530"/>
        </w:tabs>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K101. Definitions and appropriate use of descriptive, diagnostic, predictive, and prescriptive analytics</w:t>
      </w:r>
    </w:p>
    <w:p w14:paraId="3D5083D9" w14:textId="77777777" w:rsidR="00D64DC5" w:rsidRP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K102. Analytic tools and techniques (e.g., Boolean, Bayesian, statistical/mathematical modeling)</w:t>
      </w:r>
    </w:p>
    <w:p w14:paraId="54DEFA64"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K103. Advanced modeling and algorithms</w:t>
      </w:r>
    </w:p>
    <w:p w14:paraId="0938B103"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K104. Artificial intelligence</w:t>
      </w:r>
    </w:p>
    <w:p w14:paraId="5EEB7C08" w14:textId="77777777" w:rsidR="00D64DC5" w:rsidRP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K105. Machine learning (e.g., neural networks, support vector machines, Bayesian network)</w:t>
      </w:r>
    </w:p>
    <w:p w14:paraId="0B0224BD"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lastRenderedPageBreak/>
        <w:t>K106. Data visualization (e.g., graphical, geospatial, 3D modeling, dashboards, heat maps)</w:t>
      </w:r>
    </w:p>
    <w:p w14:paraId="6C48145D"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K107. Natural language processing</w:t>
      </w:r>
    </w:p>
    <w:p w14:paraId="24422C59"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K108. Precision medicine (customized treatment plans based on patient-specific data)</w:t>
      </w:r>
    </w:p>
    <w:p w14:paraId="19AC0FDA" w14:textId="77777777" w:rsidR="005C0F05" w:rsidRPr="00D64DC5" w:rsidRDefault="005C0F05" w:rsidP="005C0F05">
      <w:pPr>
        <w:pStyle w:val="ListParagraph"/>
        <w:numPr>
          <w:ilvl w:val="0"/>
          <w:numId w:val="1"/>
        </w:numPr>
        <w:rPr>
          <w:rFonts w:cstheme="minorHAnsi"/>
          <w:b/>
          <w:bCs/>
          <w:sz w:val="24"/>
          <w:szCs w:val="24"/>
        </w:rPr>
      </w:pPr>
      <w:r w:rsidRPr="00D64DC5">
        <w:rPr>
          <w:rFonts w:cstheme="minorHAnsi"/>
          <w:b/>
          <w:bCs/>
          <w:sz w:val="24"/>
          <w:szCs w:val="24"/>
        </w:rPr>
        <w:t>Governance</w:t>
      </w:r>
    </w:p>
    <w:p w14:paraId="78E8D68A"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Creating a governance process</w:t>
      </w:r>
    </w:p>
    <w:p w14:paraId="177B5CC1" w14:textId="77777777" w:rsidR="00D64DC5" w:rsidRPr="00D64DC5" w:rsidRDefault="00D64DC5" w:rsidP="00D64DC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5.02. Establish and/or participate in Health Information Technology (HIT) governance to support strategic and financial planning, including formulation, implementation, and evaluation.</w:t>
      </w:r>
    </w:p>
    <w:p w14:paraId="72A20BE3"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Maintaining a governance process</w:t>
      </w:r>
    </w:p>
    <w:p w14:paraId="4DAEF102"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What is governance and what should it accomplish</w:t>
      </w:r>
    </w:p>
    <w:p w14:paraId="4B60C925"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How to avoid making governance an obstruction</w:t>
      </w:r>
    </w:p>
    <w:p w14:paraId="5B116E1A"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Data governance</w:t>
      </w:r>
    </w:p>
    <w:p w14:paraId="46B9B73B" w14:textId="77777777" w:rsidR="00923615" w:rsidRPr="00D64DC5" w:rsidRDefault="00923615" w:rsidP="0092361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4.01. Collaborate in the establishment and maintenance of data governance structures, policies, and processes that encompass data quality, integrity, security, access, data domain management, definition of clinical and business cohorts, oversight and application of data standards, data provenance/lineage, metadata, and data dictionaries/definitions.</w:t>
      </w:r>
    </w:p>
    <w:p w14:paraId="5DB73FD4" w14:textId="77777777" w:rsidR="00923615" w:rsidRPr="00D64DC5" w:rsidRDefault="00923615" w:rsidP="00923615">
      <w:pPr>
        <w:pStyle w:val="ListParagraph"/>
        <w:numPr>
          <w:ilvl w:val="2"/>
          <w:numId w:val="1"/>
        </w:numPr>
        <w:autoSpaceDE w:val="0"/>
        <w:autoSpaceDN w:val="0"/>
        <w:adjustRightInd w:val="0"/>
        <w:snapToGrid w:val="0"/>
        <w:spacing w:before="96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4.02. Develop, implement, and/or leverage data lifecycle processes for defining sources, and acquiring, storing, cleaning, and ensuring integrity of data to safeguard the availability of relevant and valid data to meet clinical, quality, research, business, and strategic objectives.</w:t>
      </w:r>
    </w:p>
    <w:p w14:paraId="5A188959" w14:textId="77777777" w:rsidR="00923615" w:rsidRPr="00D64DC5" w:rsidRDefault="00D64DC5" w:rsidP="00923615">
      <w:pPr>
        <w:pStyle w:val="ListParagraph"/>
        <w:numPr>
          <w:ilvl w:val="2"/>
          <w:numId w:val="1"/>
        </w:numPr>
        <w:rPr>
          <w:rFonts w:cstheme="minorHAnsi"/>
          <w:sz w:val="24"/>
          <w:szCs w:val="24"/>
        </w:rPr>
      </w:pPr>
      <w:r w:rsidRPr="00D64DC5">
        <w:rPr>
          <w:rFonts w:eastAsia="Times New Roman" w:cstheme="minorHAnsi"/>
          <w:color w:val="000000"/>
          <w:sz w:val="24"/>
          <w:szCs w:val="24"/>
          <w:lang w:val="x-none"/>
        </w:rPr>
        <w:t>4.09. Plan and promote longevity and persistence of institutional data infrastructure by developing strategies for the accumulation, curation, and documentation of data sources and metadata</w:t>
      </w:r>
    </w:p>
    <w:p w14:paraId="7A59F34B" w14:textId="77777777" w:rsidR="00D64DC5" w:rsidRPr="00D64DC5" w:rsidRDefault="00D64DC5" w:rsidP="00D64DC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K086. Stewardship of data</w:t>
      </w:r>
    </w:p>
    <w:p w14:paraId="67D78DE3"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Information governance</w:t>
      </w:r>
    </w:p>
    <w:p w14:paraId="536B313A"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Process governance</w:t>
      </w:r>
    </w:p>
    <w:p w14:paraId="524C7043"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Organizational governance</w:t>
      </w:r>
    </w:p>
    <w:p w14:paraId="597B8D49"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Portfolio management</w:t>
      </w:r>
    </w:p>
    <w:p w14:paraId="73E80647" w14:textId="7777777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Knowledge management (as it relates to governance)</w:t>
      </w:r>
    </w:p>
    <w:p w14:paraId="2745CD0D" w14:textId="77777777" w:rsidR="00923615" w:rsidRPr="00D64DC5" w:rsidRDefault="00923615" w:rsidP="0092361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3.12. Develop, curate, and maintain institutional knowledge repositories to ensure continuity of information systems knowledge across staff transitions and care settings.</w:t>
      </w:r>
    </w:p>
    <w:p w14:paraId="3BD83DEB" w14:textId="77777777" w:rsidR="00923615" w:rsidRPr="00D64DC5" w:rsidRDefault="00923615" w:rsidP="0092361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K076. Approaches to knowledge repositories and their implementation and maintenance</w:t>
      </w:r>
    </w:p>
    <w:p w14:paraId="71CC442C" w14:textId="77777777" w:rsidR="00D64DC5" w:rsidRPr="00D64DC5" w:rsidRDefault="00D64DC5" w:rsidP="00D64DC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K109. Knowledge management and archiving science</w:t>
      </w:r>
    </w:p>
    <w:p w14:paraId="44604A17" w14:textId="77777777" w:rsidR="00D64DC5" w:rsidRPr="00D64DC5" w:rsidRDefault="00D64DC5" w:rsidP="00D64DC5">
      <w:pPr>
        <w:pStyle w:val="ListParagraph"/>
        <w:numPr>
          <w:ilvl w:val="2"/>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K110. Methods for knowledge persistence and sharing</w:t>
      </w:r>
    </w:p>
    <w:p w14:paraId="3D0722CE"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K054. Institutional governance of clinical information systems</w:t>
      </w:r>
    </w:p>
    <w:sectPr w:rsidR="00923615" w:rsidRPr="00D64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46B9F"/>
    <w:multiLevelType w:val="hybridMultilevel"/>
    <w:tmpl w:val="6A84A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42AF369-48A6-42F1-BDE4-65AB9C15B298}"/>
    <w:docVar w:name="dgnword-eventsink" w:val="563146768"/>
  </w:docVars>
  <w:rsids>
    <w:rsidRoot w:val="005C0F05"/>
    <w:rsid w:val="005C0F05"/>
    <w:rsid w:val="00694BDC"/>
    <w:rsid w:val="00864B06"/>
    <w:rsid w:val="00923615"/>
    <w:rsid w:val="00A219A7"/>
    <w:rsid w:val="00BA3308"/>
    <w:rsid w:val="00D64DC5"/>
    <w:rsid w:val="00DD190D"/>
    <w:rsid w:val="00FD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DCC1"/>
  <w15:chartTrackingRefBased/>
  <w15:docId w15:val="{8E5F9BA9-CD0A-4709-9E62-26469F45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F05"/>
    <w:pPr>
      <w:ind w:left="720"/>
      <w:contextualSpacing/>
    </w:pPr>
  </w:style>
  <w:style w:type="paragraph" w:styleId="PlainText">
    <w:name w:val="Plain Text"/>
    <w:basedOn w:val="Normal"/>
    <w:link w:val="PlainTextChar"/>
    <w:uiPriority w:val="99"/>
    <w:semiHidden/>
    <w:unhideWhenUsed/>
    <w:rsid w:val="005C0F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C0F0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15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Marshall</dc:creator>
  <cp:keywords/>
  <dc:description/>
  <cp:lastModifiedBy>Bob Marshall</cp:lastModifiedBy>
  <cp:revision>2</cp:revision>
  <dcterms:created xsi:type="dcterms:W3CDTF">2020-02-17T00:31:00Z</dcterms:created>
  <dcterms:modified xsi:type="dcterms:W3CDTF">2020-02-17T00:31:00Z</dcterms:modified>
</cp:coreProperties>
</file>